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C3FD8" w14:textId="77777777" w:rsidR="00E73916" w:rsidRPr="00921938" w:rsidRDefault="00E73916" w:rsidP="00325F1F">
      <w:pPr>
        <w:tabs>
          <w:tab w:val="left" w:pos="720"/>
        </w:tabs>
        <w:spacing w:after="0" w:line="276" w:lineRule="auto"/>
        <w:jc w:val="right"/>
        <w:rPr>
          <w:rFonts w:asciiTheme="majorHAnsi" w:eastAsia="Times New Roman" w:hAnsiTheme="majorHAnsi" w:cstheme="majorHAnsi"/>
          <w:bCs/>
          <w:szCs w:val="28"/>
          <w:lang w:val="ro-MD"/>
        </w:rPr>
      </w:pPr>
      <w:bookmarkStart w:id="0" w:name="_Toc520882612"/>
      <w:bookmarkStart w:id="1" w:name="_Toc527989131"/>
      <w:r w:rsidRPr="00921938">
        <w:rPr>
          <w:rFonts w:asciiTheme="majorHAnsi" w:eastAsia="Times New Roman" w:hAnsiTheme="majorHAnsi" w:cstheme="majorHAnsi"/>
          <w:bCs/>
          <w:szCs w:val="28"/>
          <w:lang w:val="ro-MD"/>
        </w:rPr>
        <w:t xml:space="preserve">Anexă </w:t>
      </w:r>
    </w:p>
    <w:p w14:paraId="777A1AC8" w14:textId="77777777" w:rsidR="00E73916" w:rsidRPr="00921938" w:rsidRDefault="00E73916" w:rsidP="00325F1F">
      <w:pPr>
        <w:tabs>
          <w:tab w:val="left" w:pos="720"/>
        </w:tabs>
        <w:spacing w:after="0" w:line="276" w:lineRule="auto"/>
        <w:jc w:val="right"/>
        <w:rPr>
          <w:rFonts w:asciiTheme="majorHAnsi" w:eastAsia="Times New Roman" w:hAnsiTheme="majorHAnsi" w:cstheme="majorHAnsi"/>
          <w:bCs/>
          <w:szCs w:val="28"/>
          <w:lang w:val="ro-MD"/>
        </w:rPr>
      </w:pPr>
      <w:r w:rsidRPr="00921938">
        <w:rPr>
          <w:rFonts w:asciiTheme="majorHAnsi" w:eastAsia="Times New Roman" w:hAnsiTheme="majorHAnsi" w:cstheme="majorHAnsi"/>
          <w:bCs/>
          <w:szCs w:val="28"/>
          <w:lang w:val="ro-MD"/>
        </w:rPr>
        <w:t xml:space="preserve">la Hotărârea Curții de Conturi </w:t>
      </w:r>
    </w:p>
    <w:p w14:paraId="22625847" w14:textId="0B7FA8B0" w:rsidR="00E73916" w:rsidRPr="00921938" w:rsidRDefault="00E73916" w:rsidP="00325F1F">
      <w:pPr>
        <w:tabs>
          <w:tab w:val="left" w:pos="720"/>
        </w:tabs>
        <w:spacing w:after="0" w:line="276" w:lineRule="auto"/>
        <w:jc w:val="right"/>
        <w:rPr>
          <w:rFonts w:asciiTheme="majorHAnsi" w:eastAsia="Times New Roman" w:hAnsiTheme="majorHAnsi" w:cstheme="majorHAnsi"/>
          <w:bCs/>
          <w:szCs w:val="28"/>
          <w:lang w:val="ro-MD"/>
        </w:rPr>
      </w:pPr>
      <w:r w:rsidRPr="00921938">
        <w:rPr>
          <w:rFonts w:asciiTheme="majorHAnsi" w:eastAsia="Times New Roman" w:hAnsiTheme="majorHAnsi" w:cstheme="majorHAnsi"/>
          <w:bCs/>
          <w:szCs w:val="28"/>
          <w:lang w:val="ro-MD"/>
        </w:rPr>
        <w:t xml:space="preserve"> nr</w:t>
      </w:r>
      <w:r w:rsidR="000F4A62" w:rsidRPr="00921938">
        <w:rPr>
          <w:rFonts w:asciiTheme="majorHAnsi" w:eastAsia="Times New Roman" w:hAnsiTheme="majorHAnsi" w:cstheme="majorHAnsi"/>
          <w:bCs/>
          <w:szCs w:val="28"/>
          <w:lang w:val="ro-MD"/>
        </w:rPr>
        <w:t>.</w:t>
      </w:r>
      <w:r w:rsidR="000F4A62">
        <w:rPr>
          <w:rFonts w:asciiTheme="majorHAnsi" w:eastAsia="Times New Roman" w:hAnsiTheme="majorHAnsi" w:cstheme="majorHAnsi"/>
          <w:bCs/>
          <w:szCs w:val="28"/>
          <w:lang w:val="ro-MD"/>
        </w:rPr>
        <w:t>32</w:t>
      </w:r>
      <w:r w:rsidR="000F4A62" w:rsidRPr="00921938">
        <w:rPr>
          <w:rFonts w:asciiTheme="majorHAnsi" w:eastAsia="Times New Roman" w:hAnsiTheme="majorHAnsi" w:cstheme="majorHAnsi"/>
          <w:bCs/>
          <w:szCs w:val="28"/>
          <w:lang w:val="ro-MD"/>
        </w:rPr>
        <w:t xml:space="preserve"> </w:t>
      </w:r>
      <w:r w:rsidRPr="00921938">
        <w:rPr>
          <w:rFonts w:asciiTheme="majorHAnsi" w:eastAsia="Times New Roman" w:hAnsiTheme="majorHAnsi" w:cstheme="majorHAnsi"/>
          <w:bCs/>
          <w:szCs w:val="28"/>
          <w:lang w:val="ro-MD"/>
        </w:rPr>
        <w:t xml:space="preserve">din </w:t>
      </w:r>
      <w:r w:rsidR="007903A5" w:rsidRPr="00921938">
        <w:rPr>
          <w:rFonts w:asciiTheme="majorHAnsi" w:eastAsia="Times New Roman" w:hAnsiTheme="majorHAnsi" w:cstheme="majorHAnsi"/>
          <w:bCs/>
          <w:szCs w:val="28"/>
          <w:lang w:val="ro-MD"/>
        </w:rPr>
        <w:t>20</w:t>
      </w:r>
      <w:r w:rsidRPr="00921938">
        <w:rPr>
          <w:rFonts w:asciiTheme="majorHAnsi" w:eastAsia="Times New Roman" w:hAnsiTheme="majorHAnsi" w:cstheme="majorHAnsi"/>
          <w:bCs/>
          <w:szCs w:val="28"/>
          <w:lang w:val="ro-MD"/>
        </w:rPr>
        <w:t xml:space="preserve"> </w:t>
      </w:r>
      <w:r w:rsidR="007903A5" w:rsidRPr="00921938">
        <w:rPr>
          <w:rFonts w:asciiTheme="majorHAnsi" w:eastAsia="Times New Roman" w:hAnsiTheme="majorHAnsi" w:cstheme="majorHAnsi"/>
          <w:bCs/>
          <w:szCs w:val="28"/>
          <w:lang w:val="ro-MD"/>
        </w:rPr>
        <w:t>iulie</w:t>
      </w:r>
      <w:r w:rsidRPr="00921938">
        <w:rPr>
          <w:rFonts w:asciiTheme="majorHAnsi" w:eastAsia="Times New Roman" w:hAnsiTheme="majorHAnsi" w:cstheme="majorHAnsi"/>
          <w:bCs/>
          <w:szCs w:val="28"/>
          <w:lang w:val="ro-MD"/>
        </w:rPr>
        <w:t xml:space="preserve"> 20</w:t>
      </w:r>
      <w:r w:rsidR="007903A5" w:rsidRPr="00921938">
        <w:rPr>
          <w:rFonts w:asciiTheme="majorHAnsi" w:eastAsia="Times New Roman" w:hAnsiTheme="majorHAnsi" w:cstheme="majorHAnsi"/>
          <w:bCs/>
          <w:szCs w:val="28"/>
          <w:lang w:val="ro-MD"/>
        </w:rPr>
        <w:t>20</w:t>
      </w:r>
    </w:p>
    <w:p w14:paraId="31E16BBE" w14:textId="77777777" w:rsidR="00E73916" w:rsidRPr="00921938" w:rsidRDefault="00E73916" w:rsidP="00325F1F">
      <w:pPr>
        <w:spacing w:after="0" w:line="276" w:lineRule="auto"/>
        <w:rPr>
          <w:rFonts w:asciiTheme="majorHAnsi" w:hAnsiTheme="majorHAnsi" w:cstheme="majorHAnsi"/>
          <w:lang w:val="ro-MD"/>
        </w:rPr>
      </w:pPr>
    </w:p>
    <w:p w14:paraId="0541E981" w14:textId="77777777" w:rsidR="00E73916" w:rsidRPr="00921938" w:rsidRDefault="00E73916" w:rsidP="00325F1F">
      <w:pPr>
        <w:spacing w:after="0" w:line="276" w:lineRule="auto"/>
        <w:rPr>
          <w:rFonts w:asciiTheme="majorHAnsi" w:hAnsiTheme="majorHAnsi" w:cstheme="majorHAnsi"/>
          <w:lang w:val="ro-MD"/>
        </w:rPr>
      </w:pPr>
    </w:p>
    <w:p w14:paraId="4CA7BD00" w14:textId="77777777" w:rsidR="00E73916" w:rsidRPr="00921938" w:rsidRDefault="00E73916" w:rsidP="00325F1F">
      <w:pPr>
        <w:spacing w:after="0" w:line="276" w:lineRule="auto"/>
        <w:jc w:val="center"/>
        <w:rPr>
          <w:rFonts w:asciiTheme="majorHAnsi" w:hAnsiTheme="majorHAnsi" w:cstheme="majorHAnsi"/>
          <w:b/>
          <w:szCs w:val="28"/>
          <w:lang w:val="ro-MD"/>
        </w:rPr>
      </w:pPr>
    </w:p>
    <w:p w14:paraId="5A0A793F" w14:textId="77777777" w:rsidR="00E73916" w:rsidRPr="00921938" w:rsidRDefault="00E73916" w:rsidP="00325F1F">
      <w:pPr>
        <w:spacing w:after="0" w:line="276" w:lineRule="auto"/>
        <w:jc w:val="center"/>
        <w:rPr>
          <w:rFonts w:asciiTheme="majorHAnsi" w:hAnsiTheme="majorHAnsi" w:cstheme="majorHAnsi"/>
          <w:b/>
          <w:szCs w:val="28"/>
          <w:lang w:val="ro-MD"/>
        </w:rPr>
      </w:pPr>
      <w:r w:rsidRPr="00921938">
        <w:rPr>
          <w:rFonts w:asciiTheme="majorHAnsi" w:hAnsiTheme="majorHAnsi" w:cstheme="majorHAnsi"/>
          <w:b/>
          <w:noProof/>
          <w:szCs w:val="28"/>
        </w:rPr>
        <w:drawing>
          <wp:inline distT="0" distB="0" distL="0" distR="0" wp14:anchorId="0B367705" wp14:editId="4380A454">
            <wp:extent cx="1377950" cy="1383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1383665"/>
                    </a:xfrm>
                    <a:prstGeom prst="rect">
                      <a:avLst/>
                    </a:prstGeom>
                    <a:noFill/>
                  </pic:spPr>
                </pic:pic>
              </a:graphicData>
            </a:graphic>
          </wp:inline>
        </w:drawing>
      </w:r>
    </w:p>
    <w:p w14:paraId="5EDA5454" w14:textId="77777777" w:rsidR="00E73916" w:rsidRPr="00921938" w:rsidRDefault="00E73916" w:rsidP="00325F1F">
      <w:pPr>
        <w:spacing w:after="0" w:line="276" w:lineRule="auto"/>
        <w:jc w:val="center"/>
        <w:rPr>
          <w:rFonts w:asciiTheme="majorHAnsi" w:hAnsiTheme="majorHAnsi" w:cstheme="majorHAnsi"/>
          <w:b/>
          <w:szCs w:val="28"/>
          <w:lang w:val="ro-MD"/>
        </w:rPr>
      </w:pPr>
    </w:p>
    <w:p w14:paraId="13A6A7D9" w14:textId="77777777" w:rsidR="00E73916" w:rsidRPr="00921938" w:rsidRDefault="00E73916" w:rsidP="00325F1F">
      <w:pPr>
        <w:spacing w:after="0" w:line="276" w:lineRule="auto"/>
        <w:jc w:val="center"/>
        <w:rPr>
          <w:rFonts w:asciiTheme="majorHAnsi" w:hAnsiTheme="majorHAnsi" w:cstheme="majorHAnsi"/>
          <w:b/>
          <w:szCs w:val="28"/>
          <w:lang w:val="ro-MD"/>
        </w:rPr>
      </w:pPr>
    </w:p>
    <w:p w14:paraId="7B81F1FE" w14:textId="77777777" w:rsidR="00E73916" w:rsidRPr="00921938" w:rsidRDefault="00E73916" w:rsidP="00325F1F">
      <w:pPr>
        <w:spacing w:after="0" w:line="276" w:lineRule="auto"/>
        <w:jc w:val="center"/>
        <w:rPr>
          <w:rFonts w:asciiTheme="majorHAnsi" w:hAnsiTheme="majorHAnsi" w:cstheme="majorHAnsi"/>
          <w:b/>
          <w:sz w:val="40"/>
          <w:szCs w:val="40"/>
          <w:lang w:val="ro-MD"/>
        </w:rPr>
      </w:pPr>
      <w:r w:rsidRPr="00921938">
        <w:rPr>
          <w:rFonts w:asciiTheme="majorHAnsi" w:hAnsiTheme="majorHAnsi" w:cstheme="majorHAnsi"/>
          <w:b/>
          <w:sz w:val="40"/>
          <w:szCs w:val="40"/>
          <w:lang w:val="ro-MD"/>
        </w:rPr>
        <w:t>CURTEA DE CONTURI A REPUBLICII MOLDOVA</w:t>
      </w:r>
    </w:p>
    <w:p w14:paraId="432D8606" w14:textId="77777777" w:rsidR="00E73916" w:rsidRPr="00921938" w:rsidRDefault="00E73916" w:rsidP="00325F1F">
      <w:pPr>
        <w:spacing w:after="0" w:line="276" w:lineRule="auto"/>
        <w:rPr>
          <w:rFonts w:asciiTheme="majorHAnsi" w:hAnsiTheme="majorHAnsi" w:cstheme="majorHAnsi"/>
          <w:lang w:val="ro-MD"/>
        </w:rPr>
      </w:pPr>
    </w:p>
    <w:p w14:paraId="4DDC8BA0" w14:textId="77777777" w:rsidR="00E73916" w:rsidRPr="00921938" w:rsidRDefault="00E73916" w:rsidP="00325F1F">
      <w:pPr>
        <w:tabs>
          <w:tab w:val="left" w:pos="720"/>
        </w:tabs>
        <w:spacing w:after="0" w:line="276" w:lineRule="auto"/>
        <w:jc w:val="right"/>
        <w:rPr>
          <w:rFonts w:asciiTheme="majorHAnsi" w:eastAsia="Times New Roman" w:hAnsiTheme="majorHAnsi" w:cstheme="majorHAnsi"/>
          <w:b/>
          <w:bCs/>
          <w:sz w:val="24"/>
          <w:szCs w:val="24"/>
          <w:lang w:val="ro-MD"/>
        </w:rPr>
      </w:pP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9350"/>
      </w:tblGrid>
      <w:tr w:rsidR="00E73916" w:rsidRPr="00921938" w14:paraId="196237FA" w14:textId="77777777" w:rsidTr="004A4DD4">
        <w:trPr>
          <w:trHeight w:val="435"/>
        </w:trPr>
        <w:tc>
          <w:tcPr>
            <w:tcW w:w="9350" w:type="dxa"/>
          </w:tcPr>
          <w:p w14:paraId="20E5634D" w14:textId="77777777" w:rsidR="00E73916" w:rsidRPr="00921938" w:rsidRDefault="00E73916" w:rsidP="00325F1F">
            <w:pPr>
              <w:tabs>
                <w:tab w:val="left" w:pos="720"/>
              </w:tabs>
              <w:spacing w:after="0" w:line="276" w:lineRule="auto"/>
              <w:jc w:val="center"/>
              <w:rPr>
                <w:rFonts w:asciiTheme="majorHAnsi" w:hAnsiTheme="majorHAnsi" w:cstheme="majorHAnsi"/>
                <w:sz w:val="18"/>
                <w:szCs w:val="18"/>
                <w:lang w:val="ro-MD"/>
              </w:rPr>
            </w:pPr>
            <w:r w:rsidRPr="00921938">
              <w:rPr>
                <w:rFonts w:asciiTheme="majorHAnsi" w:hAnsiTheme="majorHAnsi" w:cstheme="majorHAnsi"/>
                <w:sz w:val="18"/>
                <w:szCs w:val="18"/>
                <w:lang w:val="ro-MD"/>
              </w:rPr>
              <w:t xml:space="preserve">MD-2001, mun. Chișinău, bd. Ștefan cel Mare și Sfânt nr.69, tel.: (+373) 22 23 25 79, fax: (+373) 22 23 30 20, </w:t>
            </w:r>
          </w:p>
          <w:p w14:paraId="1B1F4336" w14:textId="77777777" w:rsidR="00E73916" w:rsidRPr="00921938" w:rsidRDefault="00C25572" w:rsidP="00325F1F">
            <w:pPr>
              <w:tabs>
                <w:tab w:val="left" w:pos="720"/>
              </w:tabs>
              <w:spacing w:after="0" w:line="276" w:lineRule="auto"/>
              <w:jc w:val="center"/>
              <w:rPr>
                <w:rFonts w:asciiTheme="majorHAnsi" w:eastAsia="Times New Roman" w:hAnsiTheme="majorHAnsi" w:cstheme="majorHAnsi"/>
                <w:b/>
                <w:bCs/>
                <w:sz w:val="24"/>
                <w:szCs w:val="24"/>
                <w:lang w:val="ro-MD"/>
              </w:rPr>
            </w:pPr>
            <w:hyperlink r:id="rId12" w:history="1">
              <w:r w:rsidR="00E73916" w:rsidRPr="00921938">
                <w:rPr>
                  <w:rStyle w:val="Hyperlink"/>
                  <w:rFonts w:asciiTheme="majorHAnsi" w:hAnsiTheme="majorHAnsi" w:cstheme="majorHAnsi"/>
                  <w:b/>
                  <w:color w:val="auto"/>
                  <w:sz w:val="18"/>
                  <w:szCs w:val="18"/>
                  <w:lang w:val="ro-MD"/>
                </w:rPr>
                <w:t>www.ccrm.md</w:t>
              </w:r>
            </w:hyperlink>
            <w:r w:rsidR="00E73916" w:rsidRPr="00921938">
              <w:rPr>
                <w:rStyle w:val="Hyperlink"/>
                <w:rFonts w:asciiTheme="majorHAnsi" w:hAnsiTheme="majorHAnsi" w:cstheme="majorHAnsi"/>
                <w:b/>
                <w:color w:val="auto"/>
                <w:sz w:val="18"/>
                <w:szCs w:val="18"/>
                <w:lang w:val="ro-MD"/>
              </w:rPr>
              <w:t xml:space="preserve">; </w:t>
            </w:r>
            <w:r w:rsidR="00E73916" w:rsidRPr="00921938">
              <w:rPr>
                <w:rFonts w:asciiTheme="majorHAnsi" w:hAnsiTheme="majorHAnsi" w:cstheme="majorHAnsi"/>
                <w:sz w:val="18"/>
                <w:szCs w:val="18"/>
                <w:lang w:val="ro-MD"/>
              </w:rPr>
              <w:t xml:space="preserve">e-mail: </w:t>
            </w:r>
            <w:hyperlink r:id="rId13" w:history="1">
              <w:r w:rsidR="00E73916" w:rsidRPr="00921938">
                <w:rPr>
                  <w:rStyle w:val="Hyperlink"/>
                  <w:rFonts w:asciiTheme="majorHAnsi" w:hAnsiTheme="majorHAnsi" w:cstheme="majorHAnsi"/>
                  <w:b/>
                  <w:color w:val="auto"/>
                  <w:sz w:val="18"/>
                  <w:szCs w:val="18"/>
                  <w:lang w:val="ro-MD"/>
                </w:rPr>
                <w:t>ccrm@ccrm.md</w:t>
              </w:r>
            </w:hyperlink>
          </w:p>
        </w:tc>
      </w:tr>
    </w:tbl>
    <w:p w14:paraId="680A1EA0" w14:textId="77777777" w:rsidR="00E73916" w:rsidRPr="00921938" w:rsidRDefault="00E73916" w:rsidP="00325F1F">
      <w:pPr>
        <w:tabs>
          <w:tab w:val="left" w:pos="720"/>
        </w:tabs>
        <w:spacing w:after="0" w:line="276" w:lineRule="auto"/>
        <w:jc w:val="right"/>
        <w:rPr>
          <w:rFonts w:asciiTheme="majorHAnsi" w:eastAsia="Times New Roman" w:hAnsiTheme="majorHAnsi" w:cstheme="majorHAnsi"/>
          <w:b/>
          <w:bCs/>
          <w:sz w:val="24"/>
          <w:szCs w:val="24"/>
          <w:lang w:val="ro-MD"/>
        </w:rPr>
      </w:pPr>
    </w:p>
    <w:p w14:paraId="6745D1CA" w14:textId="77777777" w:rsidR="00E73916" w:rsidRPr="00921938" w:rsidRDefault="00E73916" w:rsidP="00325F1F">
      <w:pPr>
        <w:tabs>
          <w:tab w:val="left" w:pos="720"/>
        </w:tabs>
        <w:spacing w:after="0" w:line="276" w:lineRule="auto"/>
        <w:jc w:val="right"/>
        <w:rPr>
          <w:rFonts w:asciiTheme="majorHAnsi" w:eastAsia="Times New Roman" w:hAnsiTheme="majorHAnsi" w:cstheme="majorHAnsi"/>
          <w:b/>
          <w:bCs/>
          <w:sz w:val="24"/>
          <w:szCs w:val="24"/>
          <w:lang w:val="ro-MD"/>
        </w:rPr>
      </w:pPr>
    </w:p>
    <w:p w14:paraId="7C8E2146" w14:textId="77777777" w:rsidR="00E73916" w:rsidRPr="00921938" w:rsidRDefault="00E73916" w:rsidP="00325F1F">
      <w:pPr>
        <w:tabs>
          <w:tab w:val="left" w:pos="720"/>
        </w:tabs>
        <w:spacing w:after="0" w:line="276" w:lineRule="auto"/>
        <w:jc w:val="right"/>
        <w:rPr>
          <w:rFonts w:asciiTheme="majorHAnsi" w:eastAsia="Times New Roman" w:hAnsiTheme="majorHAnsi" w:cstheme="majorHAnsi"/>
          <w:b/>
          <w:bCs/>
          <w:sz w:val="24"/>
          <w:szCs w:val="24"/>
          <w:lang w:val="ro-MD"/>
        </w:rPr>
      </w:pPr>
    </w:p>
    <w:p w14:paraId="739F7409" w14:textId="77777777" w:rsidR="00E73916" w:rsidRPr="00921938" w:rsidRDefault="00E73916" w:rsidP="00325F1F">
      <w:pPr>
        <w:tabs>
          <w:tab w:val="left" w:pos="720"/>
        </w:tabs>
        <w:spacing w:after="0" w:line="276" w:lineRule="auto"/>
        <w:jc w:val="right"/>
        <w:rPr>
          <w:rFonts w:asciiTheme="majorHAnsi" w:eastAsia="Times New Roman" w:hAnsiTheme="majorHAnsi" w:cstheme="majorHAnsi"/>
          <w:b/>
          <w:bCs/>
          <w:sz w:val="24"/>
          <w:szCs w:val="24"/>
          <w:lang w:val="ro-MD"/>
        </w:rPr>
      </w:pPr>
    </w:p>
    <w:p w14:paraId="473375FB" w14:textId="77777777" w:rsidR="00E73916" w:rsidRPr="00921938" w:rsidRDefault="00E73916" w:rsidP="00325F1F">
      <w:pPr>
        <w:tabs>
          <w:tab w:val="left" w:pos="720"/>
        </w:tabs>
        <w:spacing w:after="0" w:line="276" w:lineRule="auto"/>
        <w:jc w:val="right"/>
        <w:rPr>
          <w:rFonts w:asciiTheme="majorHAnsi" w:eastAsia="Times New Roman" w:hAnsiTheme="majorHAnsi" w:cstheme="majorHAnsi"/>
          <w:b/>
          <w:bCs/>
          <w:sz w:val="24"/>
          <w:szCs w:val="24"/>
          <w:lang w:val="ro-MD"/>
        </w:rPr>
      </w:pPr>
    </w:p>
    <w:p w14:paraId="1C41E9A4" w14:textId="77777777" w:rsidR="00E73916" w:rsidRPr="00921938" w:rsidRDefault="00E73916" w:rsidP="00325F1F">
      <w:pPr>
        <w:tabs>
          <w:tab w:val="left" w:pos="720"/>
        </w:tabs>
        <w:spacing w:after="0" w:line="276" w:lineRule="auto"/>
        <w:jc w:val="center"/>
        <w:rPr>
          <w:rFonts w:asciiTheme="majorHAnsi" w:eastAsia="Times New Roman" w:hAnsiTheme="majorHAnsi" w:cstheme="majorHAnsi"/>
          <w:b/>
          <w:bCs/>
          <w:sz w:val="24"/>
          <w:szCs w:val="24"/>
          <w:lang w:val="ro-MD"/>
        </w:rPr>
      </w:pPr>
    </w:p>
    <w:p w14:paraId="27ACE8AF" w14:textId="77777777" w:rsidR="00E73916" w:rsidRPr="00921938" w:rsidRDefault="00E73916" w:rsidP="00325F1F">
      <w:pPr>
        <w:tabs>
          <w:tab w:val="left" w:pos="720"/>
        </w:tabs>
        <w:spacing w:after="0" w:line="276" w:lineRule="auto"/>
        <w:ind w:firstLine="720"/>
        <w:jc w:val="center"/>
        <w:rPr>
          <w:rFonts w:asciiTheme="majorHAnsi" w:eastAsia="Times New Roman" w:hAnsiTheme="majorHAnsi" w:cstheme="majorHAnsi"/>
          <w:b/>
          <w:bCs/>
          <w:sz w:val="32"/>
          <w:szCs w:val="32"/>
          <w:lang w:val="ro-MD"/>
        </w:rPr>
      </w:pPr>
    </w:p>
    <w:p w14:paraId="2F674C94" w14:textId="77777777" w:rsidR="00E73916" w:rsidRPr="00921938" w:rsidRDefault="00E73916" w:rsidP="00325F1F">
      <w:pPr>
        <w:tabs>
          <w:tab w:val="left" w:pos="720"/>
        </w:tabs>
        <w:spacing w:after="0" w:line="276" w:lineRule="auto"/>
        <w:jc w:val="center"/>
        <w:rPr>
          <w:rFonts w:asciiTheme="majorHAnsi" w:eastAsia="Times New Roman" w:hAnsiTheme="majorHAnsi" w:cstheme="majorHAnsi"/>
          <w:b/>
          <w:bCs/>
          <w:sz w:val="32"/>
          <w:szCs w:val="32"/>
          <w:lang w:val="ro-MD"/>
        </w:rPr>
      </w:pPr>
      <w:r w:rsidRPr="00921938">
        <w:rPr>
          <w:rFonts w:asciiTheme="majorHAnsi" w:eastAsia="Times New Roman" w:hAnsiTheme="majorHAnsi" w:cstheme="majorHAnsi"/>
          <w:b/>
          <w:bCs/>
          <w:sz w:val="32"/>
          <w:szCs w:val="32"/>
          <w:lang w:val="ro-MD"/>
        </w:rPr>
        <w:t xml:space="preserve">RAPORTUL </w:t>
      </w:r>
    </w:p>
    <w:p w14:paraId="28F19CCA" w14:textId="77777777" w:rsidR="00E73916" w:rsidRPr="00921938" w:rsidRDefault="00E73916" w:rsidP="00325F1F">
      <w:pPr>
        <w:tabs>
          <w:tab w:val="left" w:pos="720"/>
        </w:tabs>
        <w:spacing w:after="0" w:line="276" w:lineRule="auto"/>
        <w:ind w:firstLine="720"/>
        <w:jc w:val="center"/>
        <w:rPr>
          <w:rFonts w:asciiTheme="majorHAnsi" w:eastAsia="Times New Roman" w:hAnsiTheme="majorHAnsi" w:cstheme="majorHAnsi"/>
          <w:b/>
          <w:bCs/>
          <w:sz w:val="32"/>
          <w:szCs w:val="32"/>
          <w:lang w:val="ro-MD"/>
        </w:rPr>
      </w:pPr>
    </w:p>
    <w:p w14:paraId="45F4CC86" w14:textId="757CAC2F" w:rsidR="00E73916" w:rsidRPr="00921938" w:rsidRDefault="00E73916" w:rsidP="00325F1F">
      <w:pPr>
        <w:spacing w:after="0" w:line="276" w:lineRule="auto"/>
        <w:jc w:val="center"/>
        <w:rPr>
          <w:rFonts w:asciiTheme="majorHAnsi" w:eastAsia="Times New Roman" w:hAnsiTheme="majorHAnsi" w:cstheme="majorHAnsi"/>
          <w:b/>
          <w:bCs/>
          <w:szCs w:val="28"/>
          <w:lang w:val="ro-MD"/>
        </w:rPr>
      </w:pPr>
      <w:r w:rsidRPr="00921938">
        <w:rPr>
          <w:rFonts w:asciiTheme="majorHAnsi" w:eastAsia="Times New Roman" w:hAnsiTheme="majorHAnsi" w:cstheme="majorHAnsi"/>
          <w:b/>
          <w:bCs/>
          <w:szCs w:val="28"/>
          <w:lang w:val="ro-MD"/>
        </w:rPr>
        <w:t xml:space="preserve">auditului </w:t>
      </w:r>
      <w:r w:rsidR="00A56834" w:rsidRPr="00921938">
        <w:rPr>
          <w:rFonts w:asciiTheme="majorHAnsi" w:eastAsia="Times New Roman" w:hAnsiTheme="majorHAnsi" w:cstheme="majorHAnsi"/>
          <w:b/>
          <w:bCs/>
          <w:szCs w:val="28"/>
          <w:lang w:val="ro-MD"/>
        </w:rPr>
        <w:t xml:space="preserve">asupra </w:t>
      </w:r>
      <w:r w:rsidRPr="00921938">
        <w:rPr>
          <w:rFonts w:asciiTheme="majorHAnsi" w:eastAsia="Times New Roman" w:hAnsiTheme="majorHAnsi" w:cstheme="majorHAnsi"/>
          <w:b/>
          <w:bCs/>
          <w:szCs w:val="28"/>
          <w:lang w:val="ro-MD"/>
        </w:rPr>
        <w:t>rapoartelor financiare consolidate ale Ministerului Educației, Culturii și Cercetării încheiate la 31 decembrie 2019</w:t>
      </w:r>
      <w:r w:rsidR="00414134">
        <w:rPr>
          <w:rFonts w:asciiTheme="majorHAnsi" w:eastAsia="Times New Roman" w:hAnsiTheme="majorHAnsi" w:cstheme="majorHAnsi"/>
          <w:b/>
          <w:bCs/>
          <w:szCs w:val="28"/>
          <w:lang w:val="ro-MD"/>
        </w:rPr>
        <w:t xml:space="preserve">     </w:t>
      </w:r>
      <w:r w:rsidRPr="00921938">
        <w:rPr>
          <w:rFonts w:asciiTheme="majorHAnsi" w:eastAsia="Times New Roman" w:hAnsiTheme="majorHAnsi" w:cstheme="majorHAnsi"/>
          <w:b/>
          <w:bCs/>
          <w:szCs w:val="28"/>
          <w:lang w:val="ro-MD"/>
        </w:rPr>
        <w:t xml:space="preserve"> </w:t>
      </w:r>
    </w:p>
    <w:p w14:paraId="4A050944" w14:textId="78FFBA90" w:rsidR="00507320" w:rsidRDefault="00507320" w:rsidP="00325F1F">
      <w:pPr>
        <w:spacing w:after="0" w:line="276" w:lineRule="auto"/>
        <w:jc w:val="center"/>
        <w:rPr>
          <w:rFonts w:asciiTheme="majorHAnsi" w:eastAsia="Times New Roman" w:hAnsiTheme="majorHAnsi" w:cstheme="majorHAnsi"/>
          <w:b/>
          <w:bCs/>
          <w:szCs w:val="28"/>
          <w:lang w:val="ro-MD"/>
        </w:rPr>
      </w:pPr>
    </w:p>
    <w:p w14:paraId="5719C2A3" w14:textId="77777777" w:rsidR="00507320" w:rsidRPr="00507320" w:rsidRDefault="00507320" w:rsidP="00325F1F">
      <w:pPr>
        <w:spacing w:line="276" w:lineRule="auto"/>
        <w:rPr>
          <w:rFonts w:asciiTheme="majorHAnsi" w:eastAsia="Times New Roman" w:hAnsiTheme="majorHAnsi" w:cstheme="majorHAnsi"/>
          <w:szCs w:val="28"/>
          <w:lang w:val="ro-MD"/>
        </w:rPr>
      </w:pPr>
    </w:p>
    <w:p w14:paraId="24BF7176" w14:textId="77777777" w:rsidR="00507320" w:rsidRPr="00507320" w:rsidRDefault="00507320" w:rsidP="00325F1F">
      <w:pPr>
        <w:spacing w:line="276" w:lineRule="auto"/>
        <w:rPr>
          <w:rFonts w:asciiTheme="majorHAnsi" w:eastAsia="Times New Roman" w:hAnsiTheme="majorHAnsi" w:cstheme="majorHAnsi"/>
          <w:szCs w:val="28"/>
          <w:lang w:val="ro-MD"/>
        </w:rPr>
      </w:pPr>
    </w:p>
    <w:p w14:paraId="77AE71AA" w14:textId="77777777" w:rsidR="00507320" w:rsidRPr="00507320" w:rsidRDefault="00507320" w:rsidP="00325F1F">
      <w:pPr>
        <w:spacing w:line="276" w:lineRule="auto"/>
        <w:rPr>
          <w:rFonts w:asciiTheme="majorHAnsi" w:eastAsia="Times New Roman" w:hAnsiTheme="majorHAnsi" w:cstheme="majorHAnsi"/>
          <w:szCs w:val="28"/>
          <w:lang w:val="ro-MD"/>
        </w:rPr>
      </w:pPr>
    </w:p>
    <w:p w14:paraId="05A518BB" w14:textId="6644877C" w:rsidR="00507320" w:rsidRDefault="00507320" w:rsidP="00325F1F">
      <w:pPr>
        <w:spacing w:line="276" w:lineRule="auto"/>
        <w:jc w:val="right"/>
        <w:rPr>
          <w:rFonts w:asciiTheme="majorHAnsi" w:eastAsia="Times New Roman" w:hAnsiTheme="majorHAnsi" w:cstheme="majorHAnsi"/>
          <w:szCs w:val="28"/>
          <w:lang w:val="ro-MD"/>
        </w:rPr>
      </w:pPr>
    </w:p>
    <w:p w14:paraId="6E0E947C" w14:textId="1F0557D5" w:rsidR="00507320" w:rsidRDefault="00507320" w:rsidP="00325F1F">
      <w:pPr>
        <w:spacing w:line="276" w:lineRule="auto"/>
        <w:rPr>
          <w:rFonts w:asciiTheme="majorHAnsi" w:eastAsia="Times New Roman" w:hAnsiTheme="majorHAnsi" w:cstheme="majorHAnsi"/>
          <w:szCs w:val="28"/>
          <w:lang w:val="ro-MD"/>
        </w:rPr>
      </w:pPr>
    </w:p>
    <w:p w14:paraId="2B0738CF" w14:textId="77777777" w:rsidR="006C2E10" w:rsidRPr="00507320" w:rsidRDefault="006C2E10" w:rsidP="00325F1F">
      <w:pPr>
        <w:spacing w:line="276" w:lineRule="auto"/>
        <w:rPr>
          <w:rFonts w:asciiTheme="majorHAnsi" w:eastAsia="Times New Roman" w:hAnsiTheme="majorHAnsi" w:cstheme="majorHAnsi"/>
          <w:szCs w:val="28"/>
          <w:lang w:val="ro-MD"/>
        </w:rPr>
        <w:sectPr w:rsidR="006C2E10" w:rsidRPr="00507320" w:rsidSect="00507320">
          <w:footerReference w:type="default" r:id="rId14"/>
          <w:pgSz w:w="11906" w:h="16838" w:code="9"/>
          <w:pgMar w:top="1134" w:right="850" w:bottom="1134" w:left="1701" w:header="720" w:footer="720" w:gutter="0"/>
          <w:cols w:space="720"/>
          <w:titlePg/>
          <w:docGrid w:linePitch="381"/>
        </w:sectPr>
      </w:pPr>
    </w:p>
    <w:p w14:paraId="16898AFC" w14:textId="77777777" w:rsidR="00BB0973" w:rsidRPr="00921938" w:rsidRDefault="00BB0973" w:rsidP="00325F1F">
      <w:pPr>
        <w:pStyle w:val="ListParagraph"/>
        <w:numPr>
          <w:ilvl w:val="0"/>
          <w:numId w:val="2"/>
        </w:numPr>
        <w:spacing w:line="276" w:lineRule="auto"/>
        <w:ind w:left="0" w:firstLine="0"/>
        <w:jc w:val="left"/>
        <w:outlineLvl w:val="0"/>
        <w:rPr>
          <w:rFonts w:asciiTheme="majorHAnsi" w:hAnsiTheme="majorHAnsi" w:cstheme="majorHAnsi"/>
          <w:b/>
          <w:sz w:val="24"/>
          <w:szCs w:val="24"/>
          <w:lang w:val="ro-MD"/>
        </w:rPr>
      </w:pPr>
      <w:bookmarkStart w:id="2" w:name="_Toc529544629"/>
      <w:r w:rsidRPr="00921938">
        <w:rPr>
          <w:rFonts w:asciiTheme="majorHAnsi" w:hAnsiTheme="majorHAnsi" w:cstheme="majorHAnsi"/>
          <w:b/>
          <w:sz w:val="24"/>
          <w:szCs w:val="24"/>
          <w:lang w:val="ro-MD"/>
        </w:rPr>
        <w:lastRenderedPageBreak/>
        <w:t>OPINIE CONTRARĂ</w:t>
      </w:r>
      <w:bookmarkEnd w:id="2"/>
      <w:r w:rsidRPr="00921938">
        <w:rPr>
          <w:rFonts w:asciiTheme="majorHAnsi" w:hAnsiTheme="majorHAnsi" w:cstheme="majorHAnsi"/>
          <w:b/>
          <w:sz w:val="24"/>
          <w:szCs w:val="24"/>
          <w:lang w:val="ro-MD"/>
        </w:rPr>
        <w:t xml:space="preserve"> </w:t>
      </w:r>
    </w:p>
    <w:p w14:paraId="31920258" w14:textId="4C63B999" w:rsidR="00887B93" w:rsidRPr="00921938" w:rsidRDefault="00887B93" w:rsidP="00325F1F">
      <w:pPr>
        <w:pStyle w:val="NormalWeb"/>
        <w:spacing w:line="276" w:lineRule="auto"/>
        <w:ind w:firstLine="0"/>
        <w:rPr>
          <w:rFonts w:asciiTheme="majorHAnsi" w:hAnsiTheme="majorHAnsi" w:cstheme="majorHAnsi"/>
          <w:lang w:val="ro-MD"/>
        </w:rPr>
      </w:pPr>
      <w:r w:rsidRPr="00921938">
        <w:rPr>
          <w:rFonts w:asciiTheme="majorHAnsi" w:hAnsiTheme="majorHAnsi" w:cstheme="minorHAnsi"/>
          <w:lang w:val="ro-MD"/>
        </w:rPr>
        <w:t xml:space="preserve">Am auditat rapoartele financiare consolidate ale Ministerului </w:t>
      </w:r>
      <w:r w:rsidRPr="00921938">
        <w:rPr>
          <w:rFonts w:asciiTheme="majorHAnsi" w:hAnsiTheme="majorHAnsi" w:cstheme="majorHAnsi"/>
          <w:lang w:val="ro-MD"/>
        </w:rPr>
        <w:t xml:space="preserve">Educației, Culturii și Cercetării (în continuare </w:t>
      </w:r>
      <w:r w:rsidR="00E23D69">
        <w:rPr>
          <w:rFonts w:asciiTheme="majorHAnsi" w:hAnsiTheme="majorHAnsi" w:cstheme="majorHAnsi"/>
          <w:lang w:val="ro-MD"/>
        </w:rPr>
        <w:t>–</w:t>
      </w:r>
      <w:r w:rsidRPr="00921938">
        <w:rPr>
          <w:rFonts w:asciiTheme="majorHAnsi" w:hAnsiTheme="majorHAnsi" w:cstheme="majorHAnsi"/>
          <w:lang w:val="ro-MD"/>
        </w:rPr>
        <w:t xml:space="preserve"> MECC) </w:t>
      </w:r>
      <w:r w:rsidRPr="00921938">
        <w:rPr>
          <w:rFonts w:asciiTheme="majorHAnsi" w:hAnsiTheme="majorHAnsi" w:cstheme="minorHAnsi"/>
          <w:lang w:val="ro-MD"/>
        </w:rPr>
        <w:t xml:space="preserve">pentru exercițiul încheiat la 31 decembrie 2019, ce cuprind </w:t>
      </w:r>
      <w:r w:rsidRPr="00921938">
        <w:rPr>
          <w:rFonts w:asciiTheme="majorHAnsi" w:hAnsiTheme="majorHAnsi"/>
          <w:lang w:val="ro-MD"/>
        </w:rPr>
        <w:t>Bilanțul contabil, Raportul privind veniturile și cheltuielile, Raportul privind fluxul mijloacelor bănești, Raportul privind executarea bugetului, Raportul narativ privind executarea bugetului, inclusiv un sumar al politicilor contabile semnificative. În opinia noastră</w:t>
      </w:r>
      <w:r w:rsidRPr="00921938">
        <w:rPr>
          <w:rFonts w:asciiTheme="majorHAnsi" w:hAnsiTheme="majorHAnsi" w:cstheme="minorHAnsi"/>
          <w:lang w:val="ro-MD"/>
        </w:rPr>
        <w:t>,</w:t>
      </w:r>
      <w:r w:rsidRPr="00921938">
        <w:rPr>
          <w:lang w:val="ro-MD"/>
        </w:rPr>
        <w:t xml:space="preserve"> </w:t>
      </w:r>
      <w:r w:rsidRPr="00921938">
        <w:rPr>
          <w:rFonts w:asciiTheme="majorHAnsi" w:hAnsiTheme="majorHAnsi" w:cstheme="minorHAnsi"/>
          <w:lang w:val="ro-MD"/>
        </w:rPr>
        <w:t xml:space="preserve">ținând cont de semnificația aspectelor descrise în secțiunea </w:t>
      </w:r>
      <w:r w:rsidRPr="00921938">
        <w:rPr>
          <w:rFonts w:asciiTheme="majorHAnsi" w:hAnsiTheme="majorHAnsi" w:cstheme="minorHAnsi"/>
          <w:i/>
          <w:lang w:val="ro-MD"/>
        </w:rPr>
        <w:t>Baza pentru opinia contrară</w:t>
      </w:r>
      <w:r w:rsidRPr="00921938">
        <w:rPr>
          <w:rFonts w:asciiTheme="majorHAnsi" w:hAnsiTheme="majorHAnsi" w:cstheme="minorHAnsi"/>
          <w:lang w:val="ro-MD"/>
        </w:rPr>
        <w:t>, rapoartele financiare</w:t>
      </w:r>
      <w:r w:rsidRPr="00921938">
        <w:rPr>
          <w:lang w:val="ro-MD"/>
        </w:rPr>
        <w:t xml:space="preserve"> </w:t>
      </w:r>
      <w:r w:rsidRPr="00921938">
        <w:rPr>
          <w:rFonts w:asciiTheme="majorHAnsi" w:hAnsiTheme="majorHAnsi" w:cstheme="minorHAnsi"/>
          <w:b/>
          <w:i/>
          <w:lang w:val="ro-MD"/>
        </w:rPr>
        <w:t>nu prezintă o imagine corectă</w:t>
      </w:r>
      <w:r w:rsidRPr="00921938">
        <w:rPr>
          <w:b/>
          <w:i/>
          <w:lang w:val="ro-MD"/>
        </w:rPr>
        <w:t xml:space="preserve"> </w:t>
      </w:r>
      <w:r w:rsidRPr="00921938">
        <w:rPr>
          <w:rFonts w:asciiTheme="majorHAnsi" w:hAnsiTheme="majorHAnsi" w:cstheme="minorHAnsi"/>
          <w:b/>
          <w:i/>
          <w:lang w:val="ro-MD"/>
        </w:rPr>
        <w:t>și fidelă</w:t>
      </w:r>
      <w:r w:rsidRPr="00921938">
        <w:rPr>
          <w:rFonts w:asciiTheme="majorHAnsi" w:hAnsiTheme="majorHAnsi" w:cstheme="minorHAnsi"/>
          <w:lang w:val="ro-MD"/>
        </w:rPr>
        <w:t xml:space="preserve"> în conformitate </w:t>
      </w:r>
      <w:r w:rsidRPr="00921938">
        <w:rPr>
          <w:rFonts w:asciiTheme="majorHAnsi" w:hAnsiTheme="majorHAnsi" w:cstheme="majorHAnsi"/>
          <w:lang w:val="ro-MD"/>
        </w:rPr>
        <w:t>cu cadrul de raportare financiară aplicabil</w:t>
      </w:r>
      <w:r w:rsidRPr="00921938">
        <w:rPr>
          <w:rStyle w:val="FootnoteReference"/>
          <w:rFonts w:asciiTheme="majorHAnsi" w:hAnsiTheme="majorHAnsi" w:cstheme="majorHAnsi"/>
          <w:lang w:val="ro-MD"/>
        </w:rPr>
        <w:footnoteReference w:id="1"/>
      </w:r>
      <w:r w:rsidRPr="00921938">
        <w:rPr>
          <w:rFonts w:asciiTheme="majorHAnsi" w:hAnsiTheme="majorHAnsi" w:cstheme="majorHAnsi"/>
          <w:lang w:val="ro-MD"/>
        </w:rPr>
        <w:t>.</w:t>
      </w:r>
    </w:p>
    <w:p w14:paraId="349A4A39" w14:textId="77777777" w:rsidR="000111F0" w:rsidRPr="00921938" w:rsidRDefault="000111F0" w:rsidP="00325F1F">
      <w:pPr>
        <w:pStyle w:val="NormalWeb"/>
        <w:spacing w:line="276" w:lineRule="auto"/>
        <w:ind w:firstLine="0"/>
        <w:rPr>
          <w:rFonts w:asciiTheme="majorHAnsi" w:hAnsiTheme="majorHAnsi" w:cstheme="majorHAnsi"/>
          <w:sz w:val="16"/>
          <w:szCs w:val="16"/>
          <w:lang w:val="ro-MD"/>
        </w:rPr>
      </w:pPr>
    </w:p>
    <w:p w14:paraId="56D3DBBD" w14:textId="77777777" w:rsidR="008F1661" w:rsidRPr="00921938" w:rsidRDefault="00E64BB7" w:rsidP="00325F1F">
      <w:pPr>
        <w:pStyle w:val="ListParagraph"/>
        <w:keepNext/>
        <w:keepLines/>
        <w:numPr>
          <w:ilvl w:val="0"/>
          <w:numId w:val="1"/>
        </w:numPr>
        <w:spacing w:line="276" w:lineRule="auto"/>
        <w:ind w:left="0" w:firstLine="0"/>
        <w:jc w:val="left"/>
        <w:outlineLvl w:val="0"/>
        <w:rPr>
          <w:rFonts w:asciiTheme="majorHAnsi" w:eastAsiaTheme="majorEastAsia" w:hAnsiTheme="majorHAnsi" w:cstheme="majorHAnsi"/>
          <w:b/>
          <w:sz w:val="24"/>
          <w:szCs w:val="24"/>
          <w:lang w:val="ro-MD"/>
        </w:rPr>
      </w:pPr>
      <w:bookmarkStart w:id="3" w:name="_Toc529544630"/>
      <w:r w:rsidRPr="00921938">
        <w:rPr>
          <w:rFonts w:asciiTheme="majorHAnsi" w:eastAsiaTheme="majorEastAsia" w:hAnsiTheme="majorHAnsi" w:cstheme="majorHAnsi"/>
          <w:b/>
          <w:sz w:val="24"/>
          <w:szCs w:val="24"/>
          <w:lang w:val="ro-MD"/>
        </w:rPr>
        <w:t>BAZA PENTRU</w:t>
      </w:r>
      <w:r w:rsidR="00A81E76" w:rsidRPr="00921938">
        <w:rPr>
          <w:rFonts w:asciiTheme="majorHAnsi" w:eastAsiaTheme="majorEastAsia" w:hAnsiTheme="majorHAnsi" w:cstheme="majorHAnsi"/>
          <w:b/>
          <w:sz w:val="24"/>
          <w:szCs w:val="24"/>
          <w:lang w:val="ro-MD"/>
        </w:rPr>
        <w:t xml:space="preserve"> OPINI</w:t>
      </w:r>
      <w:bookmarkEnd w:id="0"/>
      <w:bookmarkEnd w:id="1"/>
      <w:r w:rsidR="00A81E76" w:rsidRPr="00921938">
        <w:rPr>
          <w:rFonts w:asciiTheme="majorHAnsi" w:eastAsiaTheme="majorEastAsia" w:hAnsiTheme="majorHAnsi" w:cstheme="majorHAnsi"/>
          <w:b/>
          <w:sz w:val="24"/>
          <w:szCs w:val="24"/>
          <w:lang w:val="ro-MD"/>
        </w:rPr>
        <w:t>A</w:t>
      </w:r>
      <w:r w:rsidRPr="00921938">
        <w:rPr>
          <w:rFonts w:asciiTheme="majorHAnsi" w:eastAsiaTheme="majorEastAsia" w:hAnsiTheme="majorHAnsi" w:cstheme="majorHAnsi"/>
          <w:b/>
          <w:sz w:val="24"/>
          <w:szCs w:val="24"/>
          <w:lang w:val="ro-MD"/>
        </w:rPr>
        <w:t xml:space="preserve"> CONTRARĂ</w:t>
      </w:r>
      <w:bookmarkEnd w:id="3"/>
    </w:p>
    <w:p w14:paraId="36CCB0AD" w14:textId="5A9FEEF5" w:rsidR="00E4100B" w:rsidRPr="00E95C53" w:rsidRDefault="00E4100B" w:rsidP="00325F1F">
      <w:pPr>
        <w:pStyle w:val="ListParagraph"/>
        <w:spacing w:line="276" w:lineRule="auto"/>
        <w:ind w:left="0"/>
        <w:rPr>
          <w:rFonts w:asciiTheme="majorHAnsi" w:eastAsia="Times New Roman" w:hAnsiTheme="majorHAnsi" w:cstheme="majorHAnsi"/>
          <w:bCs/>
          <w:i/>
          <w:iCs/>
          <w:sz w:val="24"/>
          <w:szCs w:val="24"/>
          <w:lang w:val="ro-MD"/>
        </w:rPr>
      </w:pPr>
      <w:r w:rsidRPr="00E95C53">
        <w:rPr>
          <w:rFonts w:asciiTheme="majorHAnsi" w:eastAsia="Times New Roman" w:hAnsiTheme="majorHAnsi" w:cstheme="majorHAnsi"/>
          <w:b/>
          <w:bCs/>
          <w:i/>
          <w:iCs/>
          <w:sz w:val="24"/>
          <w:szCs w:val="24"/>
          <w:lang w:val="ro-MD"/>
        </w:rPr>
        <w:t>2.1</w:t>
      </w:r>
      <w:r w:rsidR="007524BE">
        <w:rPr>
          <w:rFonts w:asciiTheme="majorHAnsi" w:eastAsia="Times New Roman" w:hAnsiTheme="majorHAnsi" w:cstheme="majorHAnsi"/>
          <w:b/>
          <w:bCs/>
          <w:i/>
          <w:iCs/>
          <w:sz w:val="24"/>
          <w:szCs w:val="24"/>
          <w:lang w:val="ro-MD"/>
        </w:rPr>
        <w:t>.</w:t>
      </w:r>
      <w:r w:rsidRPr="00921938">
        <w:rPr>
          <w:rFonts w:asciiTheme="majorHAnsi" w:eastAsia="Times New Roman" w:hAnsiTheme="majorHAnsi" w:cstheme="majorHAnsi"/>
          <w:bCs/>
          <w:i/>
          <w:iCs/>
          <w:sz w:val="24"/>
          <w:szCs w:val="24"/>
          <w:lang w:val="ro-MD"/>
        </w:rPr>
        <w:t xml:space="preserve"> </w:t>
      </w:r>
      <w:r w:rsidR="005E30D3" w:rsidRPr="00921938">
        <w:rPr>
          <w:rFonts w:asciiTheme="majorHAnsi" w:eastAsia="Times New Roman" w:hAnsiTheme="majorHAnsi" w:cstheme="majorHAnsi"/>
          <w:bCs/>
          <w:i/>
          <w:iCs/>
          <w:sz w:val="24"/>
          <w:szCs w:val="24"/>
          <w:lang w:val="ro-MD"/>
        </w:rPr>
        <w:t xml:space="preserve">diminuarea valorii </w:t>
      </w:r>
      <w:r w:rsidR="00D92432" w:rsidRPr="00921938">
        <w:rPr>
          <w:rFonts w:asciiTheme="majorHAnsi" w:hAnsiTheme="majorHAnsi" w:cstheme="majorHAnsi"/>
          <w:i/>
          <w:sz w:val="24"/>
          <w:lang w:val="ro-MD"/>
        </w:rPr>
        <w:t>contului 371 „T</w:t>
      </w:r>
      <w:r w:rsidR="005E30D3" w:rsidRPr="00921938">
        <w:rPr>
          <w:rFonts w:asciiTheme="majorHAnsi" w:eastAsia="Times New Roman" w:hAnsiTheme="majorHAnsi" w:cstheme="majorHAnsi"/>
          <w:bCs/>
          <w:i/>
          <w:iCs/>
          <w:sz w:val="24"/>
          <w:szCs w:val="24"/>
          <w:lang w:val="ro-MD"/>
        </w:rPr>
        <w:t>erenuri</w:t>
      </w:r>
      <w:r w:rsidR="00D92432" w:rsidRPr="00921938">
        <w:rPr>
          <w:rFonts w:asciiTheme="majorHAnsi" w:eastAsia="Times New Roman" w:hAnsiTheme="majorHAnsi" w:cstheme="majorHAnsi"/>
          <w:bCs/>
          <w:i/>
          <w:iCs/>
          <w:sz w:val="24"/>
          <w:szCs w:val="24"/>
          <w:lang w:val="ro-MD"/>
        </w:rPr>
        <w:t>”</w:t>
      </w:r>
      <w:r w:rsidR="005E30D3" w:rsidRPr="00921938">
        <w:rPr>
          <w:rFonts w:asciiTheme="majorHAnsi" w:eastAsia="Times New Roman" w:hAnsiTheme="majorHAnsi" w:cstheme="majorHAnsi"/>
          <w:bCs/>
          <w:i/>
          <w:iCs/>
          <w:sz w:val="24"/>
          <w:szCs w:val="24"/>
          <w:lang w:val="ro-MD"/>
        </w:rPr>
        <w:t xml:space="preserve"> cu </w:t>
      </w:r>
      <w:r w:rsidRPr="00E95C53">
        <w:rPr>
          <w:rFonts w:asciiTheme="majorHAnsi" w:eastAsia="Times New Roman" w:hAnsiTheme="majorHAnsi" w:cstheme="majorHAnsi"/>
          <w:b/>
          <w:bCs/>
          <w:i/>
          <w:iCs/>
          <w:sz w:val="24"/>
          <w:szCs w:val="24"/>
          <w:lang w:val="ro-MD"/>
        </w:rPr>
        <w:t>2296,32</w:t>
      </w:r>
      <w:r w:rsidR="005E30D3" w:rsidRPr="00E95C53">
        <w:rPr>
          <w:rFonts w:asciiTheme="majorHAnsi" w:eastAsia="Times New Roman" w:hAnsiTheme="majorHAnsi" w:cstheme="majorHAnsi"/>
          <w:b/>
          <w:bCs/>
          <w:i/>
          <w:iCs/>
          <w:sz w:val="24"/>
          <w:szCs w:val="24"/>
          <w:lang w:val="ro-MD"/>
        </w:rPr>
        <w:t xml:space="preserve"> mil.lei</w:t>
      </w:r>
      <w:r w:rsidR="005E30D3" w:rsidRPr="00921938">
        <w:rPr>
          <w:rFonts w:asciiTheme="majorHAnsi" w:eastAsia="Times New Roman" w:hAnsiTheme="majorHAnsi" w:cstheme="majorHAnsi"/>
          <w:bCs/>
          <w:i/>
          <w:iCs/>
          <w:sz w:val="24"/>
          <w:szCs w:val="24"/>
          <w:lang w:val="ro-MD"/>
        </w:rPr>
        <w:t xml:space="preserve">, </w:t>
      </w:r>
      <w:r w:rsidR="00E23D69">
        <w:rPr>
          <w:rFonts w:asciiTheme="majorHAnsi" w:eastAsia="Times New Roman" w:hAnsiTheme="majorHAnsi" w:cstheme="majorHAnsi"/>
          <w:bCs/>
          <w:i/>
          <w:iCs/>
          <w:sz w:val="24"/>
          <w:szCs w:val="24"/>
          <w:lang w:val="ro-MD"/>
        </w:rPr>
        <w:t>din cauza</w:t>
      </w:r>
      <w:r w:rsidR="005E30D3" w:rsidRPr="00921938">
        <w:rPr>
          <w:rFonts w:asciiTheme="majorHAnsi" w:eastAsia="Times New Roman" w:hAnsiTheme="majorHAnsi" w:cstheme="majorHAnsi"/>
          <w:bCs/>
          <w:i/>
          <w:iCs/>
          <w:sz w:val="24"/>
          <w:szCs w:val="24"/>
          <w:lang w:val="ro-MD"/>
        </w:rPr>
        <w:t xml:space="preserve"> neînregistrării a 145,69 ha </w:t>
      </w:r>
      <w:r w:rsidR="00E23D69">
        <w:rPr>
          <w:rFonts w:asciiTheme="majorHAnsi" w:eastAsia="Times New Roman" w:hAnsiTheme="majorHAnsi" w:cstheme="majorHAnsi"/>
          <w:bCs/>
          <w:i/>
          <w:iCs/>
          <w:sz w:val="24"/>
          <w:szCs w:val="24"/>
          <w:lang w:val="ro-MD"/>
        </w:rPr>
        <w:t xml:space="preserve">de </w:t>
      </w:r>
      <w:r w:rsidR="005E30D3" w:rsidRPr="00921938">
        <w:rPr>
          <w:rFonts w:asciiTheme="majorHAnsi" w:eastAsia="Times New Roman" w:hAnsiTheme="majorHAnsi" w:cstheme="majorHAnsi"/>
          <w:bCs/>
          <w:i/>
          <w:iCs/>
          <w:sz w:val="24"/>
          <w:szCs w:val="24"/>
          <w:lang w:val="ro-MD"/>
        </w:rPr>
        <w:t>teren agricol (9,0 mil.lei)</w:t>
      </w:r>
      <w:r w:rsidRPr="00921938">
        <w:rPr>
          <w:rFonts w:asciiTheme="majorHAnsi" w:eastAsia="Times New Roman" w:hAnsiTheme="majorHAnsi" w:cstheme="majorHAnsi"/>
          <w:bCs/>
          <w:i/>
          <w:iCs/>
          <w:sz w:val="24"/>
          <w:szCs w:val="24"/>
          <w:lang w:val="ro-MD"/>
        </w:rPr>
        <w:t xml:space="preserve"> și </w:t>
      </w:r>
      <w:r w:rsidR="00E23D69">
        <w:rPr>
          <w:rFonts w:asciiTheme="majorHAnsi" w:eastAsia="Times New Roman" w:hAnsiTheme="majorHAnsi" w:cstheme="majorHAnsi"/>
          <w:bCs/>
          <w:i/>
          <w:iCs/>
          <w:sz w:val="24"/>
          <w:szCs w:val="24"/>
          <w:lang w:val="ro-MD"/>
        </w:rPr>
        <w:t xml:space="preserve">a </w:t>
      </w:r>
      <w:r w:rsidR="00AB2883" w:rsidRPr="00921938">
        <w:rPr>
          <w:rFonts w:asciiTheme="majorHAnsi" w:eastAsia="Times New Roman" w:hAnsiTheme="majorHAnsi" w:cstheme="majorHAnsi"/>
          <w:bCs/>
          <w:i/>
          <w:iCs/>
          <w:sz w:val="24"/>
          <w:szCs w:val="24"/>
          <w:lang w:val="ro-MD"/>
        </w:rPr>
        <w:t>256</w:t>
      </w:r>
      <w:r w:rsidR="005E30D3" w:rsidRPr="00921938">
        <w:rPr>
          <w:rFonts w:asciiTheme="majorHAnsi" w:eastAsia="Times New Roman" w:hAnsiTheme="majorHAnsi" w:cstheme="majorHAnsi"/>
          <w:bCs/>
          <w:i/>
          <w:iCs/>
          <w:sz w:val="24"/>
          <w:szCs w:val="24"/>
          <w:lang w:val="ro-MD"/>
        </w:rPr>
        <w:t>,6</w:t>
      </w:r>
      <w:r w:rsidR="00AB2883" w:rsidRPr="00921938">
        <w:rPr>
          <w:rFonts w:asciiTheme="majorHAnsi" w:eastAsia="Times New Roman" w:hAnsiTheme="majorHAnsi" w:cstheme="majorHAnsi"/>
          <w:bCs/>
          <w:i/>
          <w:iCs/>
          <w:sz w:val="24"/>
          <w:szCs w:val="24"/>
          <w:lang w:val="ro-MD"/>
        </w:rPr>
        <w:t>9</w:t>
      </w:r>
      <w:r w:rsidR="00414134">
        <w:rPr>
          <w:rFonts w:asciiTheme="majorHAnsi" w:eastAsia="Times New Roman" w:hAnsiTheme="majorHAnsi" w:cstheme="majorHAnsi"/>
          <w:bCs/>
          <w:i/>
          <w:iCs/>
          <w:sz w:val="24"/>
          <w:szCs w:val="24"/>
          <w:lang w:val="ro-MD"/>
        </w:rPr>
        <w:t xml:space="preserve"> </w:t>
      </w:r>
      <w:r w:rsidR="005E30D3" w:rsidRPr="00921938">
        <w:rPr>
          <w:rFonts w:asciiTheme="majorHAnsi" w:eastAsia="Times New Roman" w:hAnsiTheme="majorHAnsi" w:cstheme="majorHAnsi"/>
          <w:bCs/>
          <w:i/>
          <w:iCs/>
          <w:sz w:val="24"/>
          <w:szCs w:val="24"/>
          <w:lang w:val="ro-MD"/>
        </w:rPr>
        <w:t>ha</w:t>
      </w:r>
      <w:r w:rsidR="00E23D69">
        <w:rPr>
          <w:rFonts w:asciiTheme="majorHAnsi" w:eastAsia="Times New Roman" w:hAnsiTheme="majorHAnsi" w:cstheme="majorHAnsi"/>
          <w:bCs/>
          <w:i/>
          <w:iCs/>
          <w:sz w:val="24"/>
          <w:szCs w:val="24"/>
          <w:lang w:val="ro-MD"/>
        </w:rPr>
        <w:t xml:space="preserve"> de</w:t>
      </w:r>
      <w:r w:rsidR="005E30D3" w:rsidRPr="00921938">
        <w:rPr>
          <w:rFonts w:asciiTheme="majorHAnsi" w:eastAsia="Times New Roman" w:hAnsiTheme="majorHAnsi" w:cstheme="majorHAnsi"/>
          <w:bCs/>
          <w:i/>
          <w:iCs/>
          <w:sz w:val="24"/>
          <w:szCs w:val="24"/>
          <w:lang w:val="ro-MD"/>
        </w:rPr>
        <w:t xml:space="preserve"> teren pentru construcții (</w:t>
      </w:r>
      <w:r w:rsidR="00AB2883" w:rsidRPr="00921938">
        <w:rPr>
          <w:rFonts w:asciiTheme="majorHAnsi" w:eastAsia="Times New Roman" w:hAnsiTheme="majorHAnsi" w:cstheme="majorHAnsi"/>
          <w:bCs/>
          <w:i/>
          <w:iCs/>
          <w:sz w:val="24"/>
          <w:szCs w:val="24"/>
          <w:lang w:val="ro-MD"/>
        </w:rPr>
        <w:t>315,65</w:t>
      </w:r>
      <w:r w:rsidR="00414134">
        <w:rPr>
          <w:rFonts w:asciiTheme="majorHAnsi" w:eastAsia="Times New Roman" w:hAnsiTheme="majorHAnsi" w:cstheme="majorHAnsi"/>
          <w:bCs/>
          <w:i/>
          <w:iCs/>
          <w:sz w:val="24"/>
          <w:szCs w:val="24"/>
          <w:lang w:val="ro-MD"/>
        </w:rPr>
        <w:t xml:space="preserve"> </w:t>
      </w:r>
      <w:r w:rsidR="005E30D3" w:rsidRPr="00921938">
        <w:rPr>
          <w:rFonts w:asciiTheme="majorHAnsi" w:eastAsia="Times New Roman" w:hAnsiTheme="majorHAnsi" w:cstheme="majorHAnsi"/>
          <w:bCs/>
          <w:i/>
          <w:iCs/>
          <w:sz w:val="24"/>
          <w:szCs w:val="24"/>
          <w:lang w:val="ro-MD"/>
        </w:rPr>
        <w:t>mil.lei), lipsei evaluării terenurilor (129,41 mil.lei</w:t>
      </w:r>
      <w:r w:rsidR="005E30D3" w:rsidRPr="00921938">
        <w:rPr>
          <w:rStyle w:val="FootnoteReference"/>
          <w:rFonts w:asciiTheme="majorHAnsi" w:eastAsia="Times New Roman" w:hAnsiTheme="majorHAnsi" w:cstheme="majorHAnsi"/>
          <w:bCs/>
          <w:i/>
          <w:iCs/>
          <w:sz w:val="24"/>
          <w:szCs w:val="24"/>
          <w:lang w:val="ro-MD"/>
        </w:rPr>
        <w:footnoteReference w:id="2"/>
      </w:r>
      <w:r w:rsidR="005E30D3" w:rsidRPr="00921938">
        <w:rPr>
          <w:rFonts w:asciiTheme="majorHAnsi" w:eastAsia="Times New Roman" w:hAnsiTheme="majorHAnsi" w:cstheme="majorHAnsi"/>
          <w:bCs/>
          <w:i/>
          <w:iCs/>
          <w:sz w:val="24"/>
          <w:szCs w:val="24"/>
          <w:lang w:val="ro-MD"/>
        </w:rPr>
        <w:t>)</w:t>
      </w:r>
      <w:r w:rsidRPr="00921938">
        <w:rPr>
          <w:rFonts w:asciiTheme="majorHAnsi" w:eastAsia="Times New Roman" w:hAnsiTheme="majorHAnsi" w:cstheme="majorHAnsi"/>
          <w:bCs/>
          <w:i/>
          <w:iCs/>
          <w:sz w:val="24"/>
          <w:szCs w:val="24"/>
          <w:lang w:val="ro-MD"/>
        </w:rPr>
        <w:t xml:space="preserve">, precum și </w:t>
      </w:r>
      <w:r w:rsidRPr="00921938">
        <w:rPr>
          <w:rFonts w:asciiTheme="majorHAnsi" w:hAnsiTheme="majorHAnsi" w:cstheme="majorHAnsi"/>
          <w:i/>
          <w:iCs/>
          <w:sz w:val="24"/>
          <w:szCs w:val="24"/>
          <w:lang w:val="ro-MD"/>
        </w:rPr>
        <w:t>nereflectării a 307 terenuri cu suprafața de 2255 ha</w:t>
      </w:r>
      <w:r w:rsidRPr="005C1794">
        <w:rPr>
          <w:rFonts w:asciiTheme="majorHAnsi" w:hAnsiTheme="majorHAnsi" w:cstheme="majorHAnsi"/>
          <w:i/>
          <w:iCs/>
          <w:sz w:val="24"/>
          <w:szCs w:val="24"/>
          <w:lang w:val="ro-MD"/>
        </w:rPr>
        <w:t xml:space="preserve"> proprietate publică din domeniul public aflate în folosința entităților la autogestiune</w:t>
      </w:r>
      <w:r w:rsidRPr="00921938">
        <w:rPr>
          <w:rFonts w:asciiTheme="majorHAnsi" w:hAnsiTheme="majorHAnsi" w:cstheme="majorHAnsi"/>
          <w:i/>
          <w:iCs/>
          <w:sz w:val="24"/>
          <w:szCs w:val="24"/>
          <w:lang w:val="ro-MD"/>
        </w:rPr>
        <w:t xml:space="preserve"> (circa 1842,2 mil.lei);</w:t>
      </w:r>
    </w:p>
    <w:p w14:paraId="0D349B17" w14:textId="2ECBA044" w:rsidR="001416CF" w:rsidRPr="001254DB" w:rsidRDefault="00AA2B7B" w:rsidP="00325F1F">
      <w:pPr>
        <w:pStyle w:val="ListParagraph"/>
        <w:spacing w:line="276" w:lineRule="auto"/>
        <w:ind w:left="0" w:right="-35"/>
        <w:rPr>
          <w:rFonts w:asciiTheme="majorHAnsi" w:eastAsia="Calibri" w:hAnsiTheme="majorHAnsi" w:cstheme="majorHAnsi"/>
          <w:i/>
          <w:sz w:val="24"/>
          <w:lang w:val="ro-MD"/>
        </w:rPr>
      </w:pPr>
      <w:r w:rsidRPr="001254DB">
        <w:rPr>
          <w:rFonts w:asciiTheme="majorHAnsi" w:eastAsia="Times New Roman" w:hAnsiTheme="majorHAnsi" w:cstheme="majorHAnsi"/>
          <w:b/>
          <w:bCs/>
          <w:i/>
          <w:iCs/>
          <w:sz w:val="24"/>
          <w:szCs w:val="24"/>
          <w:lang w:val="ro-MD"/>
        </w:rPr>
        <w:t>2.2</w:t>
      </w:r>
      <w:r w:rsidR="007524BE">
        <w:rPr>
          <w:rFonts w:asciiTheme="majorHAnsi" w:eastAsia="Times New Roman" w:hAnsiTheme="majorHAnsi" w:cstheme="majorHAnsi"/>
          <w:b/>
          <w:bCs/>
          <w:i/>
          <w:iCs/>
          <w:sz w:val="24"/>
          <w:szCs w:val="24"/>
          <w:lang w:val="ro-MD"/>
        </w:rPr>
        <w:t>.</w:t>
      </w:r>
      <w:r w:rsidRPr="001254DB">
        <w:rPr>
          <w:rFonts w:asciiTheme="majorHAnsi" w:eastAsia="Times New Roman" w:hAnsiTheme="majorHAnsi" w:cstheme="majorHAnsi"/>
          <w:b/>
          <w:bCs/>
          <w:i/>
          <w:iCs/>
          <w:sz w:val="24"/>
          <w:szCs w:val="24"/>
          <w:lang w:val="ro-MD"/>
        </w:rPr>
        <w:t xml:space="preserve"> </w:t>
      </w:r>
      <w:r w:rsidR="00BF2122" w:rsidRPr="001254DB">
        <w:rPr>
          <w:rFonts w:asciiTheme="majorHAnsi" w:hAnsiTheme="majorHAnsi" w:cstheme="majorHAnsi"/>
          <w:i/>
          <w:sz w:val="24"/>
          <w:lang w:val="ro-MD"/>
        </w:rPr>
        <w:t xml:space="preserve">diminuiarea valorii contului </w:t>
      </w:r>
      <w:r w:rsidR="00B9374A" w:rsidRPr="001254DB">
        <w:rPr>
          <w:rFonts w:asciiTheme="majorHAnsi" w:hAnsiTheme="majorHAnsi" w:cstheme="majorHAnsi"/>
          <w:i/>
          <w:sz w:val="24"/>
          <w:lang w:val="ro-MD"/>
        </w:rPr>
        <w:t xml:space="preserve">311 </w:t>
      </w:r>
      <w:r w:rsidR="00BF2122" w:rsidRPr="001254DB">
        <w:rPr>
          <w:rFonts w:asciiTheme="majorHAnsi" w:hAnsiTheme="majorHAnsi" w:cstheme="majorHAnsi"/>
          <w:i/>
          <w:sz w:val="24"/>
          <w:lang w:val="ro-MD"/>
        </w:rPr>
        <w:t>„</w:t>
      </w:r>
      <w:r w:rsidR="00E23D69" w:rsidRPr="001254DB">
        <w:rPr>
          <w:rFonts w:asciiTheme="majorHAnsi" w:hAnsiTheme="majorHAnsi" w:cstheme="majorHAnsi"/>
          <w:i/>
          <w:sz w:val="24"/>
          <w:lang w:val="ro-MD"/>
        </w:rPr>
        <w:t>C</w:t>
      </w:r>
      <w:r w:rsidR="00BF2122" w:rsidRPr="001254DB">
        <w:rPr>
          <w:rFonts w:asciiTheme="majorHAnsi" w:hAnsiTheme="majorHAnsi" w:cstheme="majorHAnsi"/>
          <w:i/>
          <w:sz w:val="24"/>
          <w:lang w:val="ro-MD"/>
        </w:rPr>
        <w:t xml:space="preserve">lădiri” </w:t>
      </w:r>
      <w:r w:rsidR="00BF2122" w:rsidRPr="001254DB">
        <w:rPr>
          <w:rFonts w:asciiTheme="majorHAnsi" w:hAnsiTheme="majorHAnsi" w:cstheme="majorHAnsi"/>
          <w:i/>
          <w:iCs/>
          <w:sz w:val="24"/>
          <w:szCs w:val="24"/>
          <w:lang w:val="ro-MD"/>
        </w:rPr>
        <w:t xml:space="preserve">cu </w:t>
      </w:r>
      <w:r w:rsidR="001416CF" w:rsidRPr="001254DB">
        <w:rPr>
          <w:rFonts w:asciiTheme="majorHAnsi" w:hAnsiTheme="majorHAnsi" w:cstheme="majorHAnsi"/>
          <w:b/>
          <w:i/>
          <w:sz w:val="24"/>
          <w:lang w:val="ro-MD"/>
        </w:rPr>
        <w:t>5018,78</w:t>
      </w:r>
      <w:r w:rsidR="00BF2122" w:rsidRPr="001254DB">
        <w:rPr>
          <w:rFonts w:asciiTheme="majorHAnsi" w:hAnsiTheme="majorHAnsi" w:cstheme="majorHAnsi"/>
          <w:b/>
          <w:i/>
          <w:sz w:val="24"/>
          <w:lang w:val="ro-MD"/>
        </w:rPr>
        <w:t xml:space="preserve"> mil.lei</w:t>
      </w:r>
      <w:r w:rsidR="00E23D69" w:rsidRPr="001254DB">
        <w:rPr>
          <w:rFonts w:asciiTheme="majorHAnsi" w:hAnsiTheme="majorHAnsi" w:cstheme="majorHAnsi"/>
          <w:b/>
          <w:i/>
          <w:sz w:val="24"/>
          <w:lang w:val="ro-MD"/>
        </w:rPr>
        <w:t>,</w:t>
      </w:r>
      <w:r w:rsidR="00BF2122" w:rsidRPr="001254DB">
        <w:rPr>
          <w:rFonts w:asciiTheme="majorHAnsi" w:hAnsiTheme="majorHAnsi" w:cstheme="majorHAnsi"/>
          <w:i/>
          <w:sz w:val="24"/>
          <w:lang w:val="ro-MD"/>
        </w:rPr>
        <w:t xml:space="preserve"> </w:t>
      </w:r>
      <w:r w:rsidR="001416CF" w:rsidRPr="001254DB">
        <w:rPr>
          <w:rFonts w:asciiTheme="majorHAnsi" w:hAnsiTheme="majorHAnsi" w:cstheme="majorHAnsi"/>
          <w:i/>
          <w:sz w:val="24"/>
          <w:lang w:val="ro-MD"/>
        </w:rPr>
        <w:t>determinată de</w:t>
      </w:r>
      <w:r w:rsidR="001B0D88" w:rsidRPr="001254DB">
        <w:rPr>
          <w:rFonts w:asciiTheme="majorHAnsi" w:hAnsiTheme="majorHAnsi" w:cstheme="majorHAnsi"/>
          <w:i/>
          <w:sz w:val="24"/>
          <w:lang w:val="ro-MD"/>
        </w:rPr>
        <w:t>:</w:t>
      </w:r>
    </w:p>
    <w:p w14:paraId="6F3C9671" w14:textId="19BDEB64" w:rsidR="001416CF" w:rsidRPr="001254DB" w:rsidRDefault="001416CF" w:rsidP="00325F1F">
      <w:pPr>
        <w:pStyle w:val="ListParagraph"/>
        <w:numPr>
          <w:ilvl w:val="0"/>
          <w:numId w:val="18"/>
        </w:numPr>
        <w:spacing w:line="276" w:lineRule="auto"/>
        <w:ind w:left="0" w:firstLine="0"/>
        <w:rPr>
          <w:rFonts w:asciiTheme="majorHAnsi" w:hAnsiTheme="majorHAnsi" w:cstheme="majorHAnsi"/>
          <w:i/>
          <w:sz w:val="24"/>
          <w:szCs w:val="24"/>
          <w:lang w:val="ro-MD"/>
        </w:rPr>
      </w:pPr>
      <w:r w:rsidRPr="001254DB">
        <w:rPr>
          <w:rFonts w:asciiTheme="majorHAnsi" w:eastAsia="Times New Roman" w:hAnsiTheme="majorHAnsi" w:cstheme="majorHAnsi"/>
          <w:i/>
          <w:color w:val="000000" w:themeColor="text1"/>
          <w:sz w:val="24"/>
          <w:szCs w:val="24"/>
          <w:lang w:val="ro-MD"/>
        </w:rPr>
        <w:t xml:space="preserve">majorarea cu cel puțin 4,52 mil.lei ca urmare a nedecontării bunurilor ce </w:t>
      </w:r>
      <w:r w:rsidRPr="001254DB">
        <w:rPr>
          <w:rFonts w:asciiTheme="majorHAnsi" w:hAnsiTheme="majorHAnsi" w:cstheme="majorHAnsi"/>
          <w:i/>
          <w:sz w:val="24"/>
          <w:szCs w:val="24"/>
          <w:lang w:val="ro-MD"/>
        </w:rPr>
        <w:t>nu aparțin instituțiilor și/sau au fost privatizate</w:t>
      </w:r>
      <w:r w:rsidRPr="001254DB">
        <w:rPr>
          <w:rStyle w:val="FootnoteReference"/>
          <w:rFonts w:asciiTheme="majorHAnsi" w:hAnsiTheme="majorHAnsi" w:cstheme="majorHAnsi"/>
          <w:i/>
          <w:sz w:val="24"/>
          <w:szCs w:val="24"/>
          <w:lang w:val="ro-MD"/>
        </w:rPr>
        <w:footnoteReference w:id="3"/>
      </w:r>
      <w:r w:rsidRPr="001254DB">
        <w:rPr>
          <w:rFonts w:asciiTheme="majorHAnsi" w:hAnsiTheme="majorHAnsi" w:cstheme="majorHAnsi"/>
          <w:i/>
          <w:sz w:val="24"/>
          <w:szCs w:val="24"/>
          <w:lang w:val="ro-MD"/>
        </w:rPr>
        <w:t>;</w:t>
      </w:r>
    </w:p>
    <w:p w14:paraId="05EB3FE5" w14:textId="21CC8530" w:rsidR="005E30D3" w:rsidRPr="00921938" w:rsidRDefault="001416CF" w:rsidP="00325F1F">
      <w:pPr>
        <w:pStyle w:val="ListParagraph"/>
        <w:numPr>
          <w:ilvl w:val="0"/>
          <w:numId w:val="18"/>
        </w:numPr>
        <w:spacing w:line="276" w:lineRule="auto"/>
        <w:ind w:left="0" w:firstLine="0"/>
        <w:rPr>
          <w:rFonts w:asciiTheme="majorHAnsi" w:hAnsiTheme="majorHAnsi" w:cstheme="majorHAnsi"/>
          <w:i/>
          <w:iCs/>
          <w:sz w:val="24"/>
          <w:szCs w:val="24"/>
          <w:lang w:val="ro-MD"/>
        </w:rPr>
      </w:pPr>
      <w:r w:rsidRPr="001254DB">
        <w:rPr>
          <w:rFonts w:asciiTheme="majorHAnsi" w:hAnsiTheme="majorHAnsi" w:cstheme="majorHAnsi"/>
          <w:i/>
          <w:sz w:val="24"/>
          <w:lang w:val="ro-MD"/>
        </w:rPr>
        <w:t xml:space="preserve">diminuarea </w:t>
      </w:r>
      <w:r w:rsidRPr="001254DB">
        <w:rPr>
          <w:rFonts w:asciiTheme="majorHAnsi" w:eastAsia="Times New Roman" w:hAnsiTheme="majorHAnsi" w:cstheme="majorHAnsi"/>
          <w:i/>
          <w:color w:val="000000" w:themeColor="text1"/>
          <w:sz w:val="24"/>
          <w:szCs w:val="24"/>
          <w:lang w:val="ro-MD"/>
        </w:rPr>
        <w:t xml:space="preserve">cu cel puțin 5023,3 mil.lei </w:t>
      </w:r>
      <w:r w:rsidRPr="001254DB">
        <w:rPr>
          <w:rFonts w:asciiTheme="majorHAnsi" w:hAnsiTheme="majorHAnsi" w:cstheme="majorHAnsi"/>
          <w:i/>
          <w:sz w:val="24"/>
          <w:lang w:val="ro-MD"/>
        </w:rPr>
        <w:t xml:space="preserve">ca urmare </w:t>
      </w:r>
      <w:r w:rsidR="00BF2122" w:rsidRPr="001254DB">
        <w:rPr>
          <w:rFonts w:asciiTheme="majorHAnsi" w:hAnsiTheme="majorHAnsi" w:cstheme="majorHAnsi"/>
          <w:i/>
          <w:sz w:val="24"/>
          <w:lang w:val="ro-MD"/>
        </w:rPr>
        <w:t>a</w:t>
      </w:r>
      <w:r w:rsidR="007D7102" w:rsidRPr="001254DB">
        <w:rPr>
          <w:rFonts w:asciiTheme="majorHAnsi" w:hAnsiTheme="majorHAnsi" w:cstheme="majorHAnsi"/>
          <w:i/>
          <w:sz w:val="24"/>
          <w:lang w:val="ro-MD"/>
        </w:rPr>
        <w:t>:</w:t>
      </w:r>
      <w:r w:rsidR="00BF2122" w:rsidRPr="001254DB">
        <w:rPr>
          <w:rFonts w:asciiTheme="majorHAnsi" w:hAnsiTheme="majorHAnsi" w:cstheme="majorHAnsi"/>
          <w:i/>
          <w:sz w:val="24"/>
          <w:lang w:val="ro-MD"/>
        </w:rPr>
        <w:t xml:space="preserve"> </w:t>
      </w:r>
      <w:r w:rsidRPr="001254DB">
        <w:rPr>
          <w:rFonts w:asciiTheme="majorHAnsi" w:hAnsiTheme="majorHAnsi" w:cstheme="majorHAnsi"/>
          <w:i/>
          <w:sz w:val="24"/>
          <w:lang w:val="ro-MD"/>
        </w:rPr>
        <w:t xml:space="preserve">(1) </w:t>
      </w:r>
      <w:r w:rsidR="00BF2122" w:rsidRPr="001254DB">
        <w:rPr>
          <w:rFonts w:asciiTheme="majorHAnsi" w:hAnsiTheme="majorHAnsi" w:cstheme="majorHAnsi"/>
          <w:i/>
          <w:sz w:val="24"/>
          <w:lang w:val="ro-MD"/>
        </w:rPr>
        <w:t>nesoluționării din anul 2012 a</w:t>
      </w:r>
      <w:r w:rsidR="00BF2122" w:rsidRPr="00921938">
        <w:rPr>
          <w:rFonts w:asciiTheme="majorHAnsi" w:hAnsiTheme="majorHAnsi" w:cstheme="majorHAnsi"/>
          <w:i/>
          <w:sz w:val="24"/>
          <w:lang w:val="ro-MD"/>
        </w:rPr>
        <w:t xml:space="preserve"> transmiterii de la balanța Academiei de Științe </w:t>
      </w:r>
      <w:r w:rsidR="007D7102">
        <w:rPr>
          <w:rFonts w:asciiTheme="majorHAnsi" w:hAnsiTheme="majorHAnsi" w:cstheme="majorHAnsi"/>
          <w:i/>
          <w:sz w:val="24"/>
          <w:lang w:val="ro-MD"/>
        </w:rPr>
        <w:t xml:space="preserve">a Moldovei </w:t>
      </w:r>
      <w:r w:rsidR="00BF2122" w:rsidRPr="00921938">
        <w:rPr>
          <w:rFonts w:asciiTheme="majorHAnsi" w:hAnsiTheme="majorHAnsi" w:cstheme="majorHAnsi"/>
          <w:i/>
          <w:sz w:val="24"/>
          <w:lang w:val="ro-MD"/>
        </w:rPr>
        <w:t xml:space="preserve">la balanța LT </w:t>
      </w:r>
      <w:r w:rsidR="007D7102">
        <w:rPr>
          <w:rFonts w:asciiTheme="majorHAnsi" w:hAnsiTheme="majorHAnsi" w:cstheme="majorHAnsi"/>
          <w:i/>
          <w:sz w:val="24"/>
          <w:lang w:val="ro-MD"/>
        </w:rPr>
        <w:t>„</w:t>
      </w:r>
      <w:r w:rsidR="00BF2122" w:rsidRPr="00921938">
        <w:rPr>
          <w:rFonts w:asciiTheme="majorHAnsi" w:hAnsiTheme="majorHAnsi" w:cstheme="majorHAnsi"/>
          <w:i/>
          <w:sz w:val="24"/>
          <w:lang w:val="ro-MD"/>
        </w:rPr>
        <w:t>Aristotel</w:t>
      </w:r>
      <w:r w:rsidR="007D7102">
        <w:rPr>
          <w:rFonts w:asciiTheme="majorHAnsi" w:hAnsiTheme="majorHAnsi" w:cstheme="majorHAnsi"/>
          <w:i/>
          <w:sz w:val="24"/>
          <w:lang w:val="ro-MD"/>
        </w:rPr>
        <w:t>”</w:t>
      </w:r>
      <w:r w:rsidR="00BF2122" w:rsidRPr="00921938">
        <w:rPr>
          <w:rFonts w:asciiTheme="majorHAnsi" w:hAnsiTheme="majorHAnsi" w:cstheme="majorHAnsi"/>
          <w:i/>
          <w:sz w:val="24"/>
          <w:lang w:val="ro-MD"/>
        </w:rPr>
        <w:t xml:space="preserve"> a investițiilor realizate de 69,9 mil.lei și necapitalizării investițiilor de 7,8 mil.lei reflectate la contul 319</w:t>
      </w:r>
      <w:r w:rsidR="001B0D88" w:rsidRPr="00921938">
        <w:rPr>
          <w:rFonts w:asciiTheme="majorHAnsi" w:hAnsiTheme="majorHAnsi" w:cstheme="majorHAnsi"/>
          <w:i/>
          <w:sz w:val="24"/>
          <w:lang w:val="ro-MD"/>
        </w:rPr>
        <w:t>;</w:t>
      </w:r>
      <w:r w:rsidR="00BF2122" w:rsidRPr="00921938">
        <w:rPr>
          <w:rFonts w:asciiTheme="majorHAnsi" w:hAnsiTheme="majorHAnsi" w:cstheme="majorHAnsi"/>
          <w:i/>
          <w:sz w:val="24"/>
          <w:lang w:val="ro-MD"/>
        </w:rPr>
        <w:t xml:space="preserve"> </w:t>
      </w:r>
      <w:r w:rsidRPr="00921938">
        <w:rPr>
          <w:rFonts w:asciiTheme="majorHAnsi" w:hAnsiTheme="majorHAnsi" w:cstheme="majorHAnsi"/>
          <w:i/>
          <w:sz w:val="24"/>
          <w:lang w:val="ro-MD"/>
        </w:rPr>
        <w:t xml:space="preserve">(2) </w:t>
      </w:r>
      <w:r w:rsidR="005E30D3" w:rsidRPr="00921938">
        <w:rPr>
          <w:rFonts w:asciiTheme="majorHAnsi" w:hAnsiTheme="majorHAnsi" w:cstheme="majorHAnsi"/>
          <w:i/>
          <w:sz w:val="24"/>
          <w:szCs w:val="24"/>
          <w:lang w:val="ro-MD"/>
        </w:rPr>
        <w:t>necontabiliz</w:t>
      </w:r>
      <w:r w:rsidR="00BF2122" w:rsidRPr="00921938">
        <w:rPr>
          <w:rFonts w:asciiTheme="majorHAnsi" w:hAnsiTheme="majorHAnsi" w:cstheme="majorHAnsi"/>
          <w:i/>
          <w:sz w:val="24"/>
          <w:szCs w:val="24"/>
          <w:lang w:val="ro-MD"/>
        </w:rPr>
        <w:t xml:space="preserve">ării </w:t>
      </w:r>
      <w:r w:rsidR="005E30D3" w:rsidRPr="005C1794">
        <w:rPr>
          <w:rFonts w:asciiTheme="majorHAnsi" w:hAnsiTheme="majorHAnsi" w:cstheme="majorHAnsi"/>
          <w:i/>
          <w:sz w:val="24"/>
          <w:szCs w:val="24"/>
          <w:lang w:val="ro-MD"/>
        </w:rPr>
        <w:t>clădirilor aferente Taberei de odihnă pentru copii din s.Romănești, r-nul Strășeni cu valoare</w:t>
      </w:r>
      <w:r w:rsidR="007D7102">
        <w:rPr>
          <w:rFonts w:asciiTheme="majorHAnsi" w:hAnsiTheme="majorHAnsi" w:cstheme="majorHAnsi"/>
          <w:i/>
          <w:sz w:val="24"/>
          <w:szCs w:val="24"/>
          <w:lang w:val="ro-MD"/>
        </w:rPr>
        <w:t>a</w:t>
      </w:r>
      <w:r w:rsidR="005E30D3" w:rsidRPr="005C1794">
        <w:rPr>
          <w:rFonts w:asciiTheme="majorHAnsi" w:hAnsiTheme="majorHAnsi" w:cstheme="majorHAnsi"/>
          <w:i/>
          <w:sz w:val="24"/>
          <w:szCs w:val="24"/>
          <w:lang w:val="ro-MD"/>
        </w:rPr>
        <w:t xml:space="preserve"> de cel </w:t>
      </w:r>
      <w:r w:rsidR="005E30D3" w:rsidRPr="00921938">
        <w:rPr>
          <w:rFonts w:asciiTheme="majorHAnsi" w:hAnsiTheme="majorHAnsi" w:cstheme="majorHAnsi"/>
          <w:i/>
          <w:sz w:val="24"/>
          <w:szCs w:val="24"/>
          <w:lang w:val="ro-MD"/>
        </w:rPr>
        <w:t>puțin 8,2 mil.lei</w:t>
      </w:r>
      <w:r w:rsidR="001B0D88" w:rsidRPr="00921938">
        <w:rPr>
          <w:rFonts w:asciiTheme="majorHAnsi" w:hAnsiTheme="majorHAnsi" w:cstheme="majorHAnsi"/>
          <w:i/>
          <w:sz w:val="24"/>
          <w:szCs w:val="24"/>
          <w:lang w:val="ro-MD"/>
        </w:rPr>
        <w:t>;</w:t>
      </w:r>
      <w:r w:rsidR="00FB7A92" w:rsidRPr="00921938">
        <w:rPr>
          <w:rFonts w:asciiTheme="majorHAnsi" w:hAnsiTheme="majorHAnsi" w:cstheme="majorHAnsi"/>
          <w:i/>
          <w:sz w:val="24"/>
          <w:lang w:val="ro-MD"/>
        </w:rPr>
        <w:t xml:space="preserve"> </w:t>
      </w:r>
      <w:r w:rsidRPr="00921938">
        <w:rPr>
          <w:rFonts w:asciiTheme="majorHAnsi" w:hAnsiTheme="majorHAnsi" w:cstheme="majorHAnsi"/>
          <w:i/>
          <w:sz w:val="24"/>
          <w:lang w:val="ro-MD"/>
        </w:rPr>
        <w:t xml:space="preserve">(3) </w:t>
      </w:r>
      <w:r w:rsidR="00FB7A92" w:rsidRPr="00921938">
        <w:rPr>
          <w:rFonts w:asciiTheme="majorHAnsi" w:hAnsiTheme="majorHAnsi" w:cstheme="majorHAnsi"/>
          <w:i/>
          <w:iCs/>
          <w:sz w:val="24"/>
          <w:szCs w:val="24"/>
          <w:lang w:val="ro-MD"/>
        </w:rPr>
        <w:t>nedocumentării corespunzătoare a executării lucrărilor din granturile acordate, fiind majorat</w:t>
      </w:r>
      <w:r w:rsidR="00966EDF" w:rsidRPr="00921938">
        <w:rPr>
          <w:rFonts w:asciiTheme="majorHAnsi" w:hAnsiTheme="majorHAnsi" w:cstheme="majorHAnsi"/>
          <w:i/>
          <w:iCs/>
          <w:sz w:val="24"/>
          <w:szCs w:val="24"/>
          <w:lang w:val="ro-MD"/>
        </w:rPr>
        <w:t>e</w:t>
      </w:r>
      <w:r w:rsidR="00FB7A92" w:rsidRPr="00921938">
        <w:rPr>
          <w:rFonts w:asciiTheme="majorHAnsi" w:hAnsiTheme="majorHAnsi" w:cstheme="majorHAnsi"/>
          <w:i/>
          <w:iCs/>
          <w:sz w:val="24"/>
          <w:szCs w:val="24"/>
          <w:lang w:val="ro-MD"/>
        </w:rPr>
        <w:t xml:space="preserve"> alt</w:t>
      </w:r>
      <w:r w:rsidR="00966EDF" w:rsidRPr="005C1794">
        <w:rPr>
          <w:rFonts w:asciiTheme="majorHAnsi" w:hAnsiTheme="majorHAnsi" w:cstheme="majorHAnsi"/>
          <w:i/>
          <w:iCs/>
          <w:sz w:val="24"/>
          <w:szCs w:val="24"/>
          <w:lang w:val="ro-MD"/>
        </w:rPr>
        <w:t>e</w:t>
      </w:r>
      <w:r w:rsidR="00FB7A92" w:rsidRPr="005C1794">
        <w:rPr>
          <w:rFonts w:asciiTheme="majorHAnsi" w:hAnsiTheme="majorHAnsi" w:cstheme="majorHAnsi"/>
          <w:i/>
          <w:iCs/>
          <w:sz w:val="24"/>
          <w:szCs w:val="24"/>
          <w:lang w:val="ro-MD"/>
        </w:rPr>
        <w:t xml:space="preserve"> creanțe ale instituțiilor bugetare (cont 419) cu </w:t>
      </w:r>
      <w:r w:rsidR="00966EDF" w:rsidRPr="005C1794">
        <w:rPr>
          <w:rFonts w:asciiTheme="majorHAnsi" w:hAnsiTheme="majorHAnsi" w:cstheme="majorHAnsi"/>
          <w:i/>
          <w:iCs/>
          <w:sz w:val="24"/>
          <w:szCs w:val="24"/>
          <w:lang w:val="ro-MD"/>
        </w:rPr>
        <w:t>0,</w:t>
      </w:r>
      <w:r w:rsidR="00FB7A92" w:rsidRPr="00921938">
        <w:rPr>
          <w:rFonts w:asciiTheme="majorHAnsi" w:hAnsiTheme="majorHAnsi" w:cstheme="majorHAnsi"/>
          <w:i/>
          <w:iCs/>
          <w:sz w:val="24"/>
          <w:szCs w:val="24"/>
          <w:lang w:val="ro-MD"/>
        </w:rPr>
        <w:t>7</w:t>
      </w:r>
      <w:r w:rsidR="00966EDF" w:rsidRPr="00921938">
        <w:rPr>
          <w:rFonts w:asciiTheme="majorHAnsi" w:hAnsiTheme="majorHAnsi" w:cstheme="majorHAnsi"/>
          <w:i/>
          <w:iCs/>
          <w:sz w:val="24"/>
          <w:szCs w:val="24"/>
          <w:lang w:val="ro-MD"/>
        </w:rPr>
        <w:t>9</w:t>
      </w:r>
      <w:r w:rsidR="00FB7A92" w:rsidRPr="00921938">
        <w:rPr>
          <w:rFonts w:asciiTheme="majorHAnsi" w:hAnsiTheme="majorHAnsi" w:cstheme="majorHAnsi"/>
          <w:i/>
          <w:iCs/>
          <w:sz w:val="24"/>
          <w:szCs w:val="24"/>
          <w:lang w:val="ro-MD"/>
        </w:rPr>
        <w:t xml:space="preserve"> mi</w:t>
      </w:r>
      <w:r w:rsidR="00966EDF" w:rsidRPr="00921938">
        <w:rPr>
          <w:rFonts w:asciiTheme="majorHAnsi" w:hAnsiTheme="majorHAnsi" w:cstheme="majorHAnsi"/>
          <w:i/>
          <w:iCs/>
          <w:sz w:val="24"/>
          <w:szCs w:val="24"/>
          <w:lang w:val="ro-MD"/>
        </w:rPr>
        <w:t>l.</w:t>
      </w:r>
      <w:r w:rsidR="00FB7A92" w:rsidRPr="00921938">
        <w:rPr>
          <w:rFonts w:asciiTheme="majorHAnsi" w:hAnsiTheme="majorHAnsi" w:cstheme="majorHAnsi"/>
          <w:i/>
          <w:iCs/>
          <w:sz w:val="24"/>
          <w:szCs w:val="24"/>
          <w:lang w:val="ro-MD"/>
        </w:rPr>
        <w:t xml:space="preserve"> lei</w:t>
      </w:r>
      <w:r w:rsidR="005E30D3" w:rsidRPr="00921938">
        <w:rPr>
          <w:rFonts w:asciiTheme="majorHAnsi" w:hAnsiTheme="majorHAnsi" w:cstheme="majorHAnsi"/>
          <w:i/>
          <w:sz w:val="24"/>
          <w:szCs w:val="24"/>
          <w:lang w:val="ro-MD"/>
        </w:rPr>
        <w:t>;</w:t>
      </w:r>
      <w:r w:rsidR="001B0D88" w:rsidRPr="00921938">
        <w:rPr>
          <w:rFonts w:asciiTheme="majorHAnsi" w:hAnsiTheme="majorHAnsi" w:cstheme="majorHAnsi"/>
          <w:i/>
          <w:sz w:val="24"/>
          <w:szCs w:val="24"/>
          <w:lang w:val="ro-MD"/>
        </w:rPr>
        <w:t xml:space="preserve"> </w:t>
      </w:r>
      <w:r w:rsidRPr="00921938">
        <w:rPr>
          <w:rFonts w:asciiTheme="majorHAnsi" w:hAnsiTheme="majorHAnsi" w:cstheme="majorHAnsi"/>
          <w:i/>
          <w:sz w:val="24"/>
          <w:szCs w:val="24"/>
          <w:lang w:val="ro-MD"/>
        </w:rPr>
        <w:t xml:space="preserve">(4) </w:t>
      </w:r>
      <w:r w:rsidR="001B0D88" w:rsidRPr="00921938">
        <w:rPr>
          <w:rFonts w:asciiTheme="majorHAnsi" w:eastAsia="Calibri" w:hAnsiTheme="majorHAnsi" w:cstheme="majorHAnsi"/>
          <w:i/>
          <w:iCs/>
          <w:sz w:val="24"/>
          <w:lang w:val="ro-MD"/>
        </w:rPr>
        <w:t>necapitalizării investițiilor efectuate din contul comenzii de stat de 7,41 mil.lei, fiind majorate cheltuielile aferente serviciilor educați</w:t>
      </w:r>
      <w:r w:rsidR="00DF70CB" w:rsidRPr="005C1794">
        <w:rPr>
          <w:rFonts w:asciiTheme="majorHAnsi" w:eastAsia="Calibri" w:hAnsiTheme="majorHAnsi" w:cstheme="majorHAnsi"/>
          <w:i/>
          <w:iCs/>
          <w:sz w:val="24"/>
          <w:lang w:val="ro-MD"/>
        </w:rPr>
        <w:t>on</w:t>
      </w:r>
      <w:r w:rsidR="001B0D88" w:rsidRPr="005C1794">
        <w:rPr>
          <w:rFonts w:asciiTheme="majorHAnsi" w:eastAsia="Calibri" w:hAnsiTheme="majorHAnsi" w:cstheme="majorHAnsi"/>
          <w:i/>
          <w:iCs/>
          <w:sz w:val="24"/>
          <w:lang w:val="ro-MD"/>
        </w:rPr>
        <w:t>ale;</w:t>
      </w:r>
      <w:r w:rsidRPr="005C1794">
        <w:rPr>
          <w:rFonts w:asciiTheme="majorHAnsi" w:eastAsia="Calibri" w:hAnsiTheme="majorHAnsi" w:cstheme="majorHAnsi"/>
          <w:i/>
          <w:iCs/>
          <w:sz w:val="24"/>
          <w:lang w:val="ro-MD"/>
        </w:rPr>
        <w:t xml:space="preserve"> </w:t>
      </w:r>
      <w:r w:rsidRPr="00921938">
        <w:rPr>
          <w:rFonts w:asciiTheme="majorHAnsi" w:eastAsia="Calibri" w:hAnsiTheme="majorHAnsi" w:cstheme="majorHAnsi"/>
          <w:i/>
          <w:iCs/>
          <w:sz w:val="24"/>
          <w:lang w:val="ro-MD"/>
        </w:rPr>
        <w:t xml:space="preserve">(5) </w:t>
      </w:r>
      <w:r w:rsidR="005E30D3" w:rsidRPr="00921938">
        <w:rPr>
          <w:rFonts w:asciiTheme="majorHAnsi" w:hAnsiTheme="majorHAnsi" w:cstheme="majorHAnsi"/>
          <w:i/>
          <w:iCs/>
          <w:sz w:val="24"/>
          <w:szCs w:val="24"/>
          <w:lang w:val="ro-MD"/>
        </w:rPr>
        <w:t>nereflect</w:t>
      </w:r>
      <w:r w:rsidR="007D7102">
        <w:rPr>
          <w:rFonts w:asciiTheme="majorHAnsi" w:hAnsiTheme="majorHAnsi" w:cstheme="majorHAnsi"/>
          <w:i/>
          <w:iCs/>
          <w:sz w:val="24"/>
          <w:szCs w:val="24"/>
          <w:lang w:val="ro-MD"/>
        </w:rPr>
        <w:t>ării</w:t>
      </w:r>
      <w:r w:rsidR="005E30D3" w:rsidRPr="00921938">
        <w:rPr>
          <w:rFonts w:asciiTheme="majorHAnsi" w:hAnsiTheme="majorHAnsi" w:cstheme="majorHAnsi"/>
          <w:i/>
          <w:iCs/>
          <w:sz w:val="24"/>
          <w:szCs w:val="24"/>
          <w:lang w:val="ro-MD"/>
        </w:rPr>
        <w:t xml:space="preserve"> a 1096 </w:t>
      </w:r>
      <w:r w:rsidR="007D7102">
        <w:rPr>
          <w:rFonts w:asciiTheme="majorHAnsi" w:hAnsiTheme="majorHAnsi" w:cstheme="majorHAnsi"/>
          <w:i/>
          <w:iCs/>
          <w:sz w:val="24"/>
          <w:szCs w:val="24"/>
          <w:lang w:val="ro-MD"/>
        </w:rPr>
        <w:t xml:space="preserve">de </w:t>
      </w:r>
      <w:r w:rsidR="005E30D3" w:rsidRPr="00921938">
        <w:rPr>
          <w:rFonts w:asciiTheme="majorHAnsi" w:hAnsiTheme="majorHAnsi" w:cstheme="majorHAnsi"/>
          <w:i/>
          <w:iCs/>
          <w:sz w:val="24"/>
          <w:szCs w:val="24"/>
          <w:lang w:val="ro-MD"/>
        </w:rPr>
        <w:t>clădiri și construcții</w:t>
      </w:r>
      <w:r w:rsidRPr="00921938">
        <w:rPr>
          <w:rFonts w:asciiTheme="majorHAnsi" w:hAnsiTheme="majorHAnsi" w:cstheme="majorHAnsi"/>
          <w:i/>
          <w:iCs/>
          <w:sz w:val="24"/>
          <w:szCs w:val="24"/>
          <w:lang w:val="ro-MD"/>
        </w:rPr>
        <w:t xml:space="preserve"> cu valoare</w:t>
      </w:r>
      <w:r w:rsidR="007D7102">
        <w:rPr>
          <w:rFonts w:asciiTheme="majorHAnsi" w:hAnsiTheme="majorHAnsi" w:cstheme="majorHAnsi"/>
          <w:i/>
          <w:iCs/>
          <w:sz w:val="24"/>
          <w:szCs w:val="24"/>
          <w:lang w:val="ro-MD"/>
        </w:rPr>
        <w:t>a</w:t>
      </w:r>
      <w:r w:rsidRPr="00921938">
        <w:rPr>
          <w:rFonts w:asciiTheme="majorHAnsi" w:hAnsiTheme="majorHAnsi" w:cstheme="majorHAnsi"/>
          <w:i/>
          <w:iCs/>
          <w:sz w:val="24"/>
          <w:szCs w:val="24"/>
          <w:lang w:val="ro-MD"/>
        </w:rPr>
        <w:t xml:space="preserve"> inițială de circa 4929,2 mil</w:t>
      </w:r>
      <w:r w:rsidR="00AA2B7B" w:rsidRPr="00921938">
        <w:rPr>
          <w:rFonts w:asciiTheme="majorHAnsi" w:hAnsiTheme="majorHAnsi" w:cstheme="majorHAnsi"/>
          <w:i/>
          <w:iCs/>
          <w:sz w:val="24"/>
          <w:szCs w:val="24"/>
          <w:lang w:val="ro-MD"/>
        </w:rPr>
        <w:t>.</w:t>
      </w:r>
      <w:r w:rsidRPr="00921938">
        <w:rPr>
          <w:rFonts w:asciiTheme="majorHAnsi" w:hAnsiTheme="majorHAnsi" w:cstheme="majorHAnsi"/>
          <w:i/>
          <w:iCs/>
          <w:sz w:val="24"/>
          <w:szCs w:val="24"/>
          <w:lang w:val="ro-MD"/>
        </w:rPr>
        <w:t xml:space="preserve">lei, </w:t>
      </w:r>
      <w:r w:rsidR="005E30D3" w:rsidRPr="00921938">
        <w:rPr>
          <w:rFonts w:asciiTheme="majorHAnsi" w:hAnsiTheme="majorHAnsi" w:cstheme="majorHAnsi"/>
          <w:i/>
          <w:iCs/>
          <w:sz w:val="24"/>
          <w:szCs w:val="24"/>
          <w:lang w:val="ro-MD"/>
        </w:rPr>
        <w:t>proprietate publică din domeniul public, aflate conform informațiilor prezentate în folosința entităților la autogestiune fondate de MECC, care potrivit art.5 alin.(2) lit.a) din Legea nr.29 din 05.04.2018</w:t>
      </w:r>
      <w:r w:rsidR="005E30D3" w:rsidRPr="00921938">
        <w:rPr>
          <w:rStyle w:val="FootnoteReference"/>
          <w:rFonts w:asciiTheme="majorHAnsi" w:hAnsiTheme="majorHAnsi" w:cstheme="majorHAnsi"/>
          <w:i/>
          <w:iCs/>
          <w:sz w:val="24"/>
          <w:szCs w:val="24"/>
          <w:lang w:val="ro-MD"/>
        </w:rPr>
        <w:footnoteReference w:id="4"/>
      </w:r>
      <w:r w:rsidR="005E30D3" w:rsidRPr="00921938">
        <w:rPr>
          <w:rFonts w:asciiTheme="majorHAnsi" w:hAnsiTheme="majorHAnsi" w:cstheme="majorHAnsi"/>
          <w:i/>
          <w:iCs/>
          <w:sz w:val="24"/>
          <w:szCs w:val="24"/>
          <w:lang w:val="ro-MD"/>
        </w:rPr>
        <w:t xml:space="preserve"> urmau a fi reflectate în evidența contabilă a MECC</w:t>
      </w:r>
      <w:r w:rsidR="00216B78" w:rsidRPr="00921938">
        <w:rPr>
          <w:rFonts w:asciiTheme="majorHAnsi" w:hAnsiTheme="majorHAnsi" w:cstheme="majorHAnsi"/>
          <w:i/>
          <w:iCs/>
          <w:sz w:val="24"/>
          <w:szCs w:val="24"/>
          <w:lang w:val="ro-MD"/>
        </w:rPr>
        <w:t xml:space="preserve">; </w:t>
      </w:r>
    </w:p>
    <w:p w14:paraId="66DE3BF5" w14:textId="2A2C2AFB" w:rsidR="00A13C85" w:rsidRPr="00921938" w:rsidRDefault="00A13C85" w:rsidP="00325F1F">
      <w:pPr>
        <w:pStyle w:val="ListParagraph"/>
        <w:spacing w:line="276" w:lineRule="auto"/>
        <w:ind w:left="0"/>
        <w:rPr>
          <w:rFonts w:asciiTheme="majorHAnsi" w:hAnsiTheme="majorHAnsi" w:cstheme="majorHAnsi"/>
          <w:i/>
          <w:iCs/>
          <w:sz w:val="24"/>
          <w:szCs w:val="24"/>
          <w:lang w:val="ro-MD"/>
        </w:rPr>
      </w:pPr>
      <w:r w:rsidRPr="00E95C53">
        <w:rPr>
          <w:rFonts w:asciiTheme="majorHAnsi" w:hAnsiTheme="majorHAnsi" w:cstheme="majorHAnsi"/>
          <w:b/>
          <w:i/>
          <w:iCs/>
          <w:sz w:val="24"/>
          <w:szCs w:val="24"/>
          <w:lang w:val="ro-MD"/>
        </w:rPr>
        <w:t>2.3.</w:t>
      </w:r>
      <w:r w:rsidRPr="00921938">
        <w:rPr>
          <w:rFonts w:asciiTheme="majorHAnsi" w:hAnsiTheme="majorHAnsi" w:cstheme="majorHAnsi"/>
          <w:i/>
          <w:iCs/>
          <w:sz w:val="24"/>
          <w:szCs w:val="24"/>
          <w:lang w:val="ro-MD"/>
        </w:rPr>
        <w:t xml:space="preserve"> diminuarea contului 391 „</w:t>
      </w:r>
      <w:r w:rsidR="007D7102">
        <w:rPr>
          <w:rFonts w:asciiTheme="majorHAnsi" w:hAnsiTheme="majorHAnsi" w:cstheme="majorHAnsi"/>
          <w:i/>
          <w:iCs/>
          <w:sz w:val="24"/>
          <w:szCs w:val="24"/>
          <w:lang w:val="ro-MD"/>
        </w:rPr>
        <w:t>U</w:t>
      </w:r>
      <w:r w:rsidRPr="00921938">
        <w:rPr>
          <w:rFonts w:asciiTheme="majorHAnsi" w:hAnsiTheme="majorHAnsi" w:cstheme="majorHAnsi"/>
          <w:i/>
          <w:iCs/>
          <w:sz w:val="24"/>
          <w:szCs w:val="24"/>
          <w:lang w:val="ro-MD"/>
        </w:rPr>
        <w:t>zura mijloacelor fixe”</w:t>
      </w:r>
      <w:r w:rsidR="00216B78" w:rsidRPr="00921938">
        <w:rPr>
          <w:rFonts w:asciiTheme="majorHAnsi" w:hAnsiTheme="majorHAnsi" w:cstheme="majorHAnsi"/>
          <w:i/>
          <w:iCs/>
          <w:sz w:val="24"/>
          <w:szCs w:val="24"/>
          <w:lang w:val="ro-MD"/>
        </w:rPr>
        <w:t xml:space="preserve"> cu </w:t>
      </w:r>
      <w:r w:rsidR="007D7102">
        <w:rPr>
          <w:rFonts w:asciiTheme="majorHAnsi" w:hAnsiTheme="majorHAnsi" w:cstheme="majorHAnsi"/>
          <w:i/>
          <w:iCs/>
          <w:sz w:val="24"/>
          <w:szCs w:val="24"/>
          <w:lang w:val="ro-MD"/>
        </w:rPr>
        <w:t xml:space="preserve">suma de </w:t>
      </w:r>
      <w:r w:rsidR="00216B78" w:rsidRPr="00E95C53">
        <w:rPr>
          <w:rFonts w:asciiTheme="majorHAnsi" w:hAnsiTheme="majorHAnsi" w:cstheme="majorHAnsi"/>
          <w:b/>
          <w:i/>
          <w:iCs/>
          <w:sz w:val="24"/>
          <w:szCs w:val="24"/>
          <w:lang w:val="ro-MD"/>
        </w:rPr>
        <w:t>1460,1 mil.lei</w:t>
      </w:r>
      <w:r w:rsidR="00216B78" w:rsidRPr="00921938">
        <w:rPr>
          <w:rFonts w:asciiTheme="majorHAnsi" w:hAnsiTheme="majorHAnsi" w:cstheme="majorHAnsi"/>
          <w:i/>
          <w:iCs/>
          <w:sz w:val="24"/>
          <w:szCs w:val="24"/>
          <w:lang w:val="ro-MD"/>
        </w:rPr>
        <w:t xml:space="preserve"> aferentă uzurii a 1096 </w:t>
      </w:r>
      <w:r w:rsidR="007D7102">
        <w:rPr>
          <w:rFonts w:asciiTheme="majorHAnsi" w:hAnsiTheme="majorHAnsi" w:cstheme="majorHAnsi"/>
          <w:i/>
          <w:iCs/>
          <w:sz w:val="24"/>
          <w:szCs w:val="24"/>
          <w:lang w:val="ro-MD"/>
        </w:rPr>
        <w:t xml:space="preserve">de </w:t>
      </w:r>
      <w:r w:rsidR="00216B78" w:rsidRPr="00921938">
        <w:rPr>
          <w:rFonts w:asciiTheme="majorHAnsi" w:hAnsiTheme="majorHAnsi" w:cstheme="majorHAnsi"/>
          <w:i/>
          <w:iCs/>
          <w:sz w:val="24"/>
          <w:szCs w:val="24"/>
          <w:lang w:val="ro-MD"/>
        </w:rPr>
        <w:t>clădiri și construcții proprietate publică din domeniul public aflate în folosința entităților la autogestiune;</w:t>
      </w:r>
    </w:p>
    <w:p w14:paraId="05BB06B3" w14:textId="4BF0EB45" w:rsidR="00B32692" w:rsidRPr="00921938" w:rsidRDefault="00B32692" w:rsidP="00325F1F">
      <w:pPr>
        <w:pStyle w:val="ListParagraph"/>
        <w:spacing w:line="276" w:lineRule="auto"/>
        <w:ind w:left="0" w:right="-35"/>
        <w:rPr>
          <w:rFonts w:asciiTheme="majorHAnsi" w:eastAsia="Calibri" w:hAnsiTheme="majorHAnsi" w:cstheme="majorHAnsi"/>
          <w:i/>
          <w:sz w:val="24"/>
          <w:lang w:val="ro-MD"/>
        </w:rPr>
      </w:pPr>
      <w:r w:rsidRPr="00E95C53">
        <w:rPr>
          <w:rFonts w:asciiTheme="majorHAnsi" w:eastAsia="Times New Roman" w:hAnsiTheme="majorHAnsi" w:cstheme="majorHAnsi"/>
          <w:b/>
          <w:bCs/>
          <w:i/>
          <w:iCs/>
          <w:sz w:val="24"/>
          <w:szCs w:val="24"/>
          <w:lang w:val="ro-MD"/>
        </w:rPr>
        <w:t>2.4</w:t>
      </w:r>
      <w:r w:rsidR="002B2002" w:rsidRPr="00921938">
        <w:rPr>
          <w:rFonts w:asciiTheme="majorHAnsi" w:hAnsiTheme="majorHAnsi" w:cstheme="majorHAnsi"/>
          <w:i/>
          <w:iCs/>
          <w:sz w:val="24"/>
          <w:szCs w:val="24"/>
          <w:lang w:val="ro-MD"/>
        </w:rPr>
        <w:t>.</w:t>
      </w:r>
      <w:r w:rsidRPr="00E95C53">
        <w:rPr>
          <w:rFonts w:asciiTheme="majorHAnsi" w:hAnsiTheme="majorHAnsi" w:cstheme="majorHAnsi"/>
          <w:i/>
          <w:iCs/>
          <w:sz w:val="24"/>
          <w:szCs w:val="24"/>
          <w:lang w:val="ro-MD"/>
        </w:rPr>
        <w:t xml:space="preserve"> </w:t>
      </w:r>
      <w:r w:rsidRPr="00921938">
        <w:rPr>
          <w:rFonts w:asciiTheme="majorHAnsi" w:hAnsiTheme="majorHAnsi" w:cstheme="majorHAnsi"/>
          <w:i/>
          <w:iCs/>
          <w:sz w:val="24"/>
          <w:szCs w:val="24"/>
          <w:lang w:val="ro-MD"/>
        </w:rPr>
        <w:t>majorarea</w:t>
      </w:r>
      <w:r w:rsidRPr="00921938">
        <w:rPr>
          <w:rFonts w:asciiTheme="majorHAnsi" w:hAnsiTheme="majorHAnsi" w:cstheme="majorHAnsi"/>
          <w:i/>
          <w:sz w:val="24"/>
          <w:lang w:val="ro-MD"/>
        </w:rPr>
        <w:t xml:space="preserve"> valorii contului </w:t>
      </w:r>
      <w:r w:rsidR="00B9374A" w:rsidRPr="00921938">
        <w:rPr>
          <w:rFonts w:asciiTheme="majorHAnsi" w:hAnsiTheme="majorHAnsi" w:cstheme="majorHAnsi"/>
          <w:i/>
          <w:iCs/>
          <w:sz w:val="24"/>
          <w:szCs w:val="24"/>
          <w:lang w:val="ro-MD"/>
        </w:rPr>
        <w:t>415</w:t>
      </w:r>
      <w:r w:rsidR="00B9374A" w:rsidRPr="00921938">
        <w:rPr>
          <w:rFonts w:asciiTheme="majorHAnsi" w:hAnsiTheme="majorHAnsi" w:cstheme="majorHAnsi"/>
          <w:i/>
          <w:sz w:val="24"/>
          <w:lang w:val="ro-MD"/>
        </w:rPr>
        <w:t xml:space="preserve"> </w:t>
      </w:r>
      <w:r w:rsidRPr="00921938">
        <w:rPr>
          <w:rFonts w:asciiTheme="majorHAnsi" w:hAnsiTheme="majorHAnsi" w:cstheme="majorHAnsi"/>
          <w:i/>
          <w:sz w:val="24"/>
          <w:lang w:val="ro-MD"/>
        </w:rPr>
        <w:t>„</w:t>
      </w:r>
      <w:r w:rsidR="007D7102">
        <w:rPr>
          <w:rFonts w:asciiTheme="majorHAnsi" w:hAnsiTheme="majorHAnsi" w:cstheme="majorHAnsi"/>
          <w:i/>
          <w:iCs/>
          <w:sz w:val="24"/>
          <w:szCs w:val="24"/>
          <w:lang w:val="ro-MD"/>
        </w:rPr>
        <w:t>A</w:t>
      </w:r>
      <w:r w:rsidRPr="00921938">
        <w:rPr>
          <w:rFonts w:asciiTheme="majorHAnsi" w:hAnsiTheme="majorHAnsi" w:cstheme="majorHAnsi"/>
          <w:i/>
          <w:iCs/>
          <w:sz w:val="24"/>
          <w:szCs w:val="24"/>
          <w:lang w:val="ro-MD"/>
        </w:rPr>
        <w:t>cțiuni și alt</w:t>
      </w:r>
      <w:r w:rsidR="007D7102">
        <w:rPr>
          <w:rFonts w:asciiTheme="majorHAnsi" w:hAnsiTheme="majorHAnsi" w:cstheme="majorHAnsi"/>
          <w:i/>
          <w:iCs/>
          <w:sz w:val="24"/>
          <w:szCs w:val="24"/>
          <w:lang w:val="ro-MD"/>
        </w:rPr>
        <w:t>e</w:t>
      </w:r>
      <w:r w:rsidRPr="00921938">
        <w:rPr>
          <w:rFonts w:asciiTheme="majorHAnsi" w:hAnsiTheme="majorHAnsi" w:cstheme="majorHAnsi"/>
          <w:i/>
          <w:iCs/>
          <w:sz w:val="24"/>
          <w:szCs w:val="24"/>
          <w:lang w:val="ro-MD"/>
        </w:rPr>
        <w:t xml:space="preserve"> forme de participare în capital în interiorul țării” cu </w:t>
      </w:r>
      <w:r w:rsidRPr="00E95C53">
        <w:rPr>
          <w:rFonts w:asciiTheme="majorHAnsi" w:hAnsiTheme="majorHAnsi" w:cstheme="majorHAnsi"/>
          <w:b/>
          <w:i/>
          <w:iCs/>
          <w:sz w:val="24"/>
          <w:szCs w:val="24"/>
          <w:lang w:val="ro-MD"/>
        </w:rPr>
        <w:t>1834,27</w:t>
      </w:r>
      <w:r w:rsidRPr="00E95C53">
        <w:rPr>
          <w:rFonts w:asciiTheme="majorHAnsi" w:hAnsiTheme="majorHAnsi" w:cstheme="majorHAnsi"/>
          <w:b/>
          <w:i/>
          <w:sz w:val="24"/>
          <w:lang w:val="ro-MD"/>
        </w:rPr>
        <w:t xml:space="preserve"> mil.lei</w:t>
      </w:r>
      <w:r w:rsidR="006F5D61">
        <w:rPr>
          <w:rFonts w:asciiTheme="majorHAnsi" w:hAnsiTheme="majorHAnsi" w:cstheme="majorHAnsi"/>
          <w:b/>
          <w:i/>
          <w:sz w:val="24"/>
          <w:lang w:val="ro-MD"/>
        </w:rPr>
        <w:t>,</w:t>
      </w:r>
      <w:r w:rsidRPr="00921938">
        <w:rPr>
          <w:rFonts w:asciiTheme="majorHAnsi" w:hAnsiTheme="majorHAnsi" w:cstheme="majorHAnsi"/>
          <w:i/>
          <w:sz w:val="24"/>
          <w:lang w:val="ro-MD"/>
        </w:rPr>
        <w:t xml:space="preserve"> determinată de:</w:t>
      </w:r>
    </w:p>
    <w:p w14:paraId="672BB3F4" w14:textId="60032D42" w:rsidR="005E30D3" w:rsidRPr="00921938" w:rsidRDefault="005E30D3" w:rsidP="00325F1F">
      <w:pPr>
        <w:pStyle w:val="ListParagraph"/>
        <w:numPr>
          <w:ilvl w:val="0"/>
          <w:numId w:val="18"/>
        </w:numPr>
        <w:spacing w:line="276" w:lineRule="auto"/>
        <w:ind w:left="0" w:firstLine="0"/>
        <w:rPr>
          <w:rFonts w:ascii="Calibri" w:eastAsia="Times New Roman" w:hAnsi="Calibri" w:cs="Calibri"/>
          <w:i/>
          <w:lang w:val="ro-MD"/>
        </w:rPr>
      </w:pPr>
      <w:r w:rsidRPr="00921938">
        <w:rPr>
          <w:rFonts w:asciiTheme="majorHAnsi" w:hAnsiTheme="majorHAnsi" w:cstheme="majorHAnsi"/>
          <w:i/>
          <w:iCs/>
          <w:sz w:val="24"/>
          <w:szCs w:val="24"/>
          <w:lang w:val="ro-MD"/>
        </w:rPr>
        <w:t xml:space="preserve">majorarea cu </w:t>
      </w:r>
      <w:r w:rsidR="00B32692" w:rsidRPr="00921938">
        <w:rPr>
          <w:rFonts w:asciiTheme="majorHAnsi" w:hAnsiTheme="majorHAnsi" w:cstheme="majorHAnsi"/>
          <w:i/>
          <w:iCs/>
          <w:sz w:val="24"/>
          <w:szCs w:val="24"/>
          <w:lang w:val="ro-MD"/>
        </w:rPr>
        <w:t xml:space="preserve">1891,58 </w:t>
      </w:r>
      <w:r w:rsidRPr="00921938">
        <w:rPr>
          <w:rFonts w:asciiTheme="majorHAnsi" w:hAnsiTheme="majorHAnsi" w:cstheme="majorHAnsi"/>
          <w:i/>
          <w:iCs/>
          <w:sz w:val="24"/>
          <w:szCs w:val="24"/>
          <w:lang w:val="ro-MD"/>
        </w:rPr>
        <w:t xml:space="preserve">mil.lei, </w:t>
      </w:r>
      <w:r w:rsidR="006F5D61">
        <w:rPr>
          <w:rFonts w:asciiTheme="majorHAnsi" w:hAnsiTheme="majorHAnsi" w:cstheme="majorHAnsi"/>
          <w:i/>
          <w:iCs/>
          <w:sz w:val="24"/>
          <w:szCs w:val="24"/>
          <w:lang w:val="ro-MD"/>
        </w:rPr>
        <w:t>generată de</w:t>
      </w:r>
      <w:r w:rsidR="006F5D61" w:rsidRPr="00921938">
        <w:rPr>
          <w:rFonts w:asciiTheme="majorHAnsi" w:hAnsiTheme="majorHAnsi" w:cstheme="majorHAnsi"/>
          <w:i/>
          <w:iCs/>
          <w:sz w:val="24"/>
          <w:szCs w:val="24"/>
          <w:lang w:val="ro-MD"/>
        </w:rPr>
        <w:t xml:space="preserve"> </w:t>
      </w:r>
      <w:r w:rsidR="00B32692" w:rsidRPr="00921938">
        <w:rPr>
          <w:rFonts w:asciiTheme="majorHAnsi" w:hAnsiTheme="majorHAnsi" w:cstheme="majorHAnsi"/>
          <w:i/>
          <w:iCs/>
          <w:sz w:val="24"/>
          <w:szCs w:val="24"/>
          <w:lang w:val="ro-MD"/>
        </w:rPr>
        <w:t>includer</w:t>
      </w:r>
      <w:r w:rsidR="006F5D61">
        <w:rPr>
          <w:rFonts w:asciiTheme="majorHAnsi" w:hAnsiTheme="majorHAnsi" w:cstheme="majorHAnsi"/>
          <w:i/>
          <w:iCs/>
          <w:sz w:val="24"/>
          <w:szCs w:val="24"/>
          <w:lang w:val="ro-MD"/>
        </w:rPr>
        <w:t>ea</w:t>
      </w:r>
      <w:r w:rsidR="00B32692" w:rsidRPr="00921938">
        <w:rPr>
          <w:rFonts w:asciiTheme="majorHAnsi" w:hAnsiTheme="majorHAnsi" w:cstheme="majorHAnsi"/>
          <w:i/>
          <w:iCs/>
          <w:sz w:val="24"/>
          <w:szCs w:val="24"/>
          <w:lang w:val="ro-MD"/>
        </w:rPr>
        <w:t xml:space="preserve"> terenurilor, clădirilor și construcțiilor proprietate publică din domeniul public în capitalul entităților la autogestiune (1778,42 mil.lei);</w:t>
      </w:r>
      <w:r w:rsidR="00414134">
        <w:rPr>
          <w:rFonts w:asciiTheme="majorHAnsi" w:hAnsiTheme="majorHAnsi" w:cstheme="majorHAnsi"/>
          <w:i/>
          <w:iCs/>
          <w:sz w:val="24"/>
          <w:szCs w:val="24"/>
          <w:lang w:val="ro-MD"/>
        </w:rPr>
        <w:t xml:space="preserve"> </w:t>
      </w:r>
      <w:r w:rsidR="00774F38" w:rsidRPr="00921938">
        <w:rPr>
          <w:rFonts w:asciiTheme="majorHAnsi" w:hAnsiTheme="majorHAnsi" w:cstheme="majorHAnsi"/>
          <w:i/>
          <w:iCs/>
          <w:sz w:val="24"/>
          <w:szCs w:val="24"/>
          <w:lang w:val="ro-MD"/>
        </w:rPr>
        <w:t>netransmiter</w:t>
      </w:r>
      <w:r w:rsidR="006F5D61">
        <w:rPr>
          <w:rFonts w:asciiTheme="majorHAnsi" w:hAnsiTheme="majorHAnsi" w:cstheme="majorHAnsi"/>
          <w:i/>
          <w:iCs/>
          <w:sz w:val="24"/>
          <w:szCs w:val="24"/>
          <w:lang w:val="ro-MD"/>
        </w:rPr>
        <w:t>ea</w:t>
      </w:r>
      <w:r w:rsidR="00774F38" w:rsidRPr="00921938">
        <w:rPr>
          <w:rFonts w:asciiTheme="majorHAnsi" w:hAnsiTheme="majorHAnsi" w:cstheme="majorHAnsi"/>
          <w:i/>
          <w:iCs/>
          <w:sz w:val="24"/>
          <w:szCs w:val="24"/>
          <w:lang w:val="ro-MD"/>
        </w:rPr>
        <w:t xml:space="preserve"> conform</w:t>
      </w:r>
      <w:r w:rsidR="006F5D61">
        <w:rPr>
          <w:rFonts w:asciiTheme="majorHAnsi" w:hAnsiTheme="majorHAnsi" w:cstheme="majorHAnsi"/>
          <w:i/>
          <w:iCs/>
          <w:sz w:val="24"/>
          <w:szCs w:val="24"/>
          <w:lang w:val="ro-MD"/>
        </w:rPr>
        <w:t>ă</w:t>
      </w:r>
      <w:r w:rsidR="00774F38" w:rsidRPr="00921938">
        <w:rPr>
          <w:rFonts w:asciiTheme="majorHAnsi" w:hAnsiTheme="majorHAnsi" w:cstheme="majorHAnsi"/>
          <w:i/>
          <w:iCs/>
          <w:sz w:val="24"/>
          <w:szCs w:val="24"/>
          <w:lang w:val="ro-MD"/>
        </w:rPr>
        <w:t xml:space="preserve"> </w:t>
      </w:r>
      <w:r w:rsidRPr="00921938">
        <w:rPr>
          <w:rFonts w:asciiTheme="majorHAnsi" w:hAnsiTheme="majorHAnsi" w:cstheme="majorHAnsi"/>
          <w:i/>
          <w:iCs/>
          <w:sz w:val="24"/>
          <w:szCs w:val="24"/>
          <w:lang w:val="ro-MD"/>
        </w:rPr>
        <w:t xml:space="preserve">a </w:t>
      </w:r>
      <w:r w:rsidR="001335D3" w:rsidRPr="00921938">
        <w:rPr>
          <w:rFonts w:asciiTheme="majorHAnsi" w:hAnsiTheme="majorHAnsi" w:cstheme="majorHAnsi"/>
          <w:i/>
          <w:iCs/>
          <w:sz w:val="24"/>
          <w:szCs w:val="24"/>
          <w:lang w:val="ro-MD"/>
        </w:rPr>
        <w:t>cotelor de participare în capital</w:t>
      </w:r>
      <w:r w:rsidR="009F421C" w:rsidRPr="00921938">
        <w:rPr>
          <w:rFonts w:asciiTheme="majorHAnsi" w:hAnsiTheme="majorHAnsi" w:cstheme="majorHAnsi"/>
          <w:i/>
          <w:iCs/>
          <w:sz w:val="24"/>
          <w:szCs w:val="24"/>
          <w:lang w:val="ro-MD"/>
        </w:rPr>
        <w:t>ul</w:t>
      </w:r>
      <w:r w:rsidR="001335D3" w:rsidRPr="00921938">
        <w:rPr>
          <w:rFonts w:asciiTheme="majorHAnsi" w:hAnsiTheme="majorHAnsi" w:cstheme="majorHAnsi"/>
          <w:i/>
          <w:iCs/>
          <w:sz w:val="24"/>
          <w:szCs w:val="24"/>
          <w:lang w:val="ro-MD"/>
        </w:rPr>
        <w:t xml:space="preserve"> agenților economici</w:t>
      </w:r>
      <w:r w:rsidRPr="00921938">
        <w:rPr>
          <w:rFonts w:asciiTheme="majorHAnsi" w:hAnsiTheme="majorHAnsi" w:cstheme="majorHAnsi"/>
          <w:i/>
          <w:iCs/>
          <w:sz w:val="24"/>
          <w:szCs w:val="24"/>
          <w:lang w:val="ro-MD"/>
        </w:rPr>
        <w:t xml:space="preserve"> preluate de APP</w:t>
      </w:r>
      <w:r w:rsidR="001335D3" w:rsidRPr="00921938">
        <w:rPr>
          <w:rFonts w:asciiTheme="majorHAnsi" w:hAnsiTheme="majorHAnsi" w:cstheme="majorHAnsi"/>
          <w:i/>
          <w:iCs/>
          <w:sz w:val="24"/>
          <w:szCs w:val="24"/>
          <w:lang w:val="ro-MD"/>
        </w:rPr>
        <w:t xml:space="preserve"> (100,94 mil.lei)</w:t>
      </w:r>
      <w:r w:rsidRPr="00921938">
        <w:rPr>
          <w:rFonts w:asciiTheme="majorHAnsi" w:hAnsiTheme="majorHAnsi" w:cstheme="majorHAnsi"/>
          <w:i/>
          <w:iCs/>
          <w:sz w:val="24"/>
          <w:szCs w:val="24"/>
          <w:lang w:val="ro-MD"/>
        </w:rPr>
        <w:t>;</w:t>
      </w:r>
      <w:r w:rsidR="00774F38" w:rsidRPr="00921938">
        <w:rPr>
          <w:rFonts w:asciiTheme="majorHAnsi" w:hAnsiTheme="majorHAnsi" w:cstheme="majorHAnsi"/>
          <w:i/>
          <w:iCs/>
          <w:sz w:val="24"/>
          <w:szCs w:val="24"/>
          <w:lang w:val="ro-MD"/>
        </w:rPr>
        <w:t xml:space="preserve"> </w:t>
      </w:r>
      <w:r w:rsidR="009F421C" w:rsidRPr="00921938">
        <w:rPr>
          <w:rFonts w:asciiTheme="majorHAnsi" w:hAnsiTheme="majorHAnsi" w:cstheme="majorHAnsi"/>
          <w:i/>
          <w:iCs/>
          <w:sz w:val="24"/>
          <w:szCs w:val="24"/>
          <w:lang w:val="ro-MD"/>
        </w:rPr>
        <w:t xml:space="preserve">alte majorări (12,22 </w:t>
      </w:r>
      <w:r w:rsidR="00B32692" w:rsidRPr="00921938">
        <w:rPr>
          <w:rFonts w:asciiTheme="majorHAnsi" w:hAnsiTheme="majorHAnsi" w:cstheme="majorHAnsi"/>
          <w:i/>
          <w:iCs/>
          <w:sz w:val="24"/>
          <w:szCs w:val="24"/>
          <w:lang w:val="ro-MD"/>
        </w:rPr>
        <w:t>mil.lei</w:t>
      </w:r>
      <w:r w:rsidR="009F421C" w:rsidRPr="00921938">
        <w:rPr>
          <w:rFonts w:asciiTheme="majorHAnsi" w:hAnsiTheme="majorHAnsi" w:cstheme="majorHAnsi"/>
          <w:i/>
          <w:iCs/>
          <w:sz w:val="24"/>
          <w:szCs w:val="24"/>
          <w:lang w:val="ro-MD"/>
        </w:rPr>
        <w:t>)</w:t>
      </w:r>
      <w:r w:rsidR="00216B78" w:rsidRPr="00921938">
        <w:rPr>
          <w:rFonts w:asciiTheme="majorHAnsi" w:hAnsiTheme="majorHAnsi" w:cstheme="majorHAnsi"/>
          <w:i/>
          <w:iCs/>
          <w:sz w:val="24"/>
          <w:szCs w:val="24"/>
          <w:lang w:val="ro-MD"/>
        </w:rPr>
        <w:t xml:space="preserve">; </w:t>
      </w:r>
    </w:p>
    <w:p w14:paraId="14DC82A9" w14:textId="74C98F40" w:rsidR="00776542" w:rsidRPr="00E95C53" w:rsidRDefault="0080346C" w:rsidP="00325F1F">
      <w:pPr>
        <w:pStyle w:val="ListParagraph"/>
        <w:numPr>
          <w:ilvl w:val="0"/>
          <w:numId w:val="18"/>
        </w:numPr>
        <w:spacing w:line="276" w:lineRule="auto"/>
        <w:ind w:left="0" w:firstLine="0"/>
        <w:rPr>
          <w:rFonts w:ascii="Calibri" w:eastAsia="Times New Roman" w:hAnsi="Calibri" w:cs="Calibri"/>
          <w:i/>
          <w:lang w:val="ro-MD"/>
        </w:rPr>
      </w:pPr>
      <w:r w:rsidRPr="00921938">
        <w:rPr>
          <w:rFonts w:ascii="Calibri Light" w:hAnsi="Calibri Light" w:cs="Calibri Light"/>
          <w:i/>
          <w:iCs/>
          <w:sz w:val="24"/>
          <w:szCs w:val="24"/>
          <w:lang w:val="ro-MD"/>
        </w:rPr>
        <w:lastRenderedPageBreak/>
        <w:t xml:space="preserve">diminuarea cu </w:t>
      </w:r>
      <w:r w:rsidR="00C96DB0" w:rsidRPr="00921938">
        <w:rPr>
          <w:rFonts w:ascii="Calibri Light" w:hAnsi="Calibri Light" w:cs="Calibri Light"/>
          <w:i/>
          <w:iCs/>
          <w:sz w:val="24"/>
          <w:szCs w:val="24"/>
          <w:lang w:val="ro-MD"/>
        </w:rPr>
        <w:t>57,31</w:t>
      </w:r>
      <w:r w:rsidRPr="00921938">
        <w:rPr>
          <w:rFonts w:ascii="Calibri Light" w:hAnsi="Calibri Light" w:cs="Calibri Light"/>
          <w:i/>
          <w:iCs/>
          <w:sz w:val="24"/>
          <w:szCs w:val="24"/>
          <w:lang w:val="ro-MD"/>
        </w:rPr>
        <w:t xml:space="preserve"> mil.lei, </w:t>
      </w:r>
      <w:r w:rsidR="006F5D61">
        <w:rPr>
          <w:rFonts w:ascii="Calibri Light" w:hAnsi="Calibri Light" w:cs="Calibri Light"/>
          <w:i/>
          <w:iCs/>
          <w:sz w:val="24"/>
          <w:szCs w:val="24"/>
          <w:lang w:val="ro-MD"/>
        </w:rPr>
        <w:t xml:space="preserve">ca </w:t>
      </w:r>
      <w:r w:rsidRPr="00921938">
        <w:rPr>
          <w:rFonts w:ascii="Calibri Light" w:hAnsi="Calibri Light" w:cs="Calibri Light"/>
          <w:i/>
          <w:iCs/>
          <w:sz w:val="24"/>
          <w:szCs w:val="24"/>
          <w:lang w:val="ro-MD"/>
        </w:rPr>
        <w:t xml:space="preserve">urmare a </w:t>
      </w:r>
      <w:r w:rsidR="00B9374A" w:rsidRPr="00921938">
        <w:rPr>
          <w:rFonts w:ascii="Calibri Light" w:hAnsi="Calibri Light" w:cs="Calibri Light"/>
          <w:i/>
          <w:iCs/>
          <w:sz w:val="24"/>
          <w:szCs w:val="24"/>
          <w:lang w:val="ro-MD"/>
        </w:rPr>
        <w:t>necapitalizării investițiilor efectuate pe parcursul anilor (27,43 mil. lei)</w:t>
      </w:r>
      <w:r w:rsidR="00B9374A" w:rsidRPr="00921938">
        <w:rPr>
          <w:rStyle w:val="FootnoteReference"/>
          <w:rFonts w:ascii="Calibri Light" w:hAnsi="Calibri Light" w:cs="Calibri Light"/>
          <w:i/>
          <w:iCs/>
          <w:sz w:val="24"/>
          <w:szCs w:val="24"/>
          <w:lang w:val="ro-MD"/>
        </w:rPr>
        <w:footnoteReference w:id="5"/>
      </w:r>
      <w:r w:rsidR="00C96DB0" w:rsidRPr="00921938">
        <w:rPr>
          <w:rFonts w:ascii="Calibri Light" w:hAnsi="Calibri Light" w:cs="Calibri Light"/>
          <w:i/>
          <w:iCs/>
          <w:sz w:val="24"/>
          <w:szCs w:val="24"/>
          <w:lang w:val="ro-MD"/>
        </w:rPr>
        <w:t xml:space="preserve">, precum și </w:t>
      </w:r>
      <w:r w:rsidR="00776542" w:rsidRPr="00921938">
        <w:rPr>
          <w:rFonts w:asciiTheme="majorHAnsi" w:hAnsiTheme="majorHAnsi" w:cstheme="majorHAnsi"/>
          <w:i/>
          <w:iCs/>
          <w:sz w:val="24"/>
          <w:szCs w:val="24"/>
          <w:lang w:val="ro-MD"/>
        </w:rPr>
        <w:t xml:space="preserve">netrasmiterii </w:t>
      </w:r>
      <w:r w:rsidR="00C33312" w:rsidRPr="00921938">
        <w:rPr>
          <w:rFonts w:asciiTheme="majorHAnsi" w:hAnsiTheme="majorHAnsi" w:cstheme="majorHAnsi"/>
          <w:i/>
          <w:iCs/>
          <w:sz w:val="24"/>
          <w:szCs w:val="24"/>
          <w:lang w:val="ro-MD"/>
        </w:rPr>
        <w:t>fondatorului (MECC)</w:t>
      </w:r>
      <w:r w:rsidR="00C33312">
        <w:rPr>
          <w:rFonts w:asciiTheme="majorHAnsi" w:hAnsiTheme="majorHAnsi" w:cstheme="majorHAnsi"/>
          <w:i/>
          <w:iCs/>
          <w:sz w:val="24"/>
          <w:szCs w:val="24"/>
          <w:lang w:val="ro-MD"/>
        </w:rPr>
        <w:t xml:space="preserve"> </w:t>
      </w:r>
      <w:r w:rsidR="006C2E10" w:rsidRPr="00921938">
        <w:rPr>
          <w:rFonts w:asciiTheme="majorHAnsi" w:hAnsiTheme="majorHAnsi" w:cstheme="majorHAnsi"/>
          <w:i/>
          <w:iCs/>
          <w:sz w:val="24"/>
          <w:szCs w:val="24"/>
          <w:lang w:val="ro-MD"/>
        </w:rPr>
        <w:t xml:space="preserve">de către MEI a </w:t>
      </w:r>
      <w:r w:rsidR="00776542" w:rsidRPr="00921938">
        <w:rPr>
          <w:rFonts w:asciiTheme="majorHAnsi" w:hAnsiTheme="majorHAnsi" w:cstheme="majorHAnsi"/>
          <w:i/>
          <w:iCs/>
          <w:sz w:val="24"/>
          <w:szCs w:val="24"/>
          <w:lang w:val="ro-MD"/>
        </w:rPr>
        <w:t xml:space="preserve">investițiilor statului în infrastructura Colegiului de Inginerie din or. Strășeni </w:t>
      </w:r>
      <w:r w:rsidR="00C96DB0" w:rsidRPr="00921938">
        <w:rPr>
          <w:rFonts w:asciiTheme="majorHAnsi" w:hAnsiTheme="majorHAnsi" w:cstheme="majorHAnsi"/>
          <w:i/>
          <w:iCs/>
          <w:sz w:val="24"/>
          <w:szCs w:val="24"/>
          <w:lang w:val="ro-MD"/>
        </w:rPr>
        <w:t>(29,88 mil.lei)</w:t>
      </w:r>
      <w:r w:rsidR="00776542" w:rsidRPr="00921938">
        <w:rPr>
          <w:rFonts w:asciiTheme="majorHAnsi" w:hAnsiTheme="majorHAnsi" w:cstheme="majorHAnsi"/>
          <w:i/>
          <w:iCs/>
          <w:sz w:val="24"/>
          <w:szCs w:val="24"/>
          <w:lang w:val="ro-MD"/>
        </w:rPr>
        <w:t>;</w:t>
      </w:r>
    </w:p>
    <w:p w14:paraId="262CE692" w14:textId="38C0D723" w:rsidR="000C68CB" w:rsidRPr="00921938" w:rsidRDefault="00B9374A" w:rsidP="00325F1F">
      <w:pPr>
        <w:pStyle w:val="ListParagraph"/>
        <w:spacing w:line="276" w:lineRule="auto"/>
        <w:ind w:left="0"/>
        <w:rPr>
          <w:rFonts w:asciiTheme="majorHAnsi" w:hAnsiTheme="majorHAnsi" w:cstheme="majorHAnsi"/>
          <w:i/>
          <w:iCs/>
          <w:sz w:val="24"/>
          <w:szCs w:val="24"/>
          <w:lang w:val="ro-MD"/>
        </w:rPr>
      </w:pPr>
      <w:r w:rsidRPr="00921938">
        <w:rPr>
          <w:rFonts w:asciiTheme="majorHAnsi" w:eastAsia="Times New Roman" w:hAnsiTheme="majorHAnsi" w:cstheme="majorHAnsi"/>
          <w:b/>
          <w:bCs/>
          <w:i/>
          <w:iCs/>
          <w:sz w:val="24"/>
          <w:szCs w:val="24"/>
          <w:lang w:val="ro-MD"/>
        </w:rPr>
        <w:t>2.5</w:t>
      </w:r>
      <w:r w:rsidRPr="00921938">
        <w:rPr>
          <w:rFonts w:asciiTheme="majorHAnsi" w:hAnsiTheme="majorHAnsi" w:cstheme="majorHAnsi"/>
          <w:i/>
          <w:iCs/>
          <w:sz w:val="24"/>
          <w:szCs w:val="24"/>
          <w:lang w:val="ro-MD"/>
        </w:rPr>
        <w:t>. majorarea</w:t>
      </w:r>
      <w:r w:rsidRPr="00921938">
        <w:rPr>
          <w:rFonts w:asciiTheme="majorHAnsi" w:hAnsiTheme="majorHAnsi" w:cstheme="majorHAnsi"/>
          <w:i/>
          <w:sz w:val="24"/>
          <w:lang w:val="ro-MD"/>
        </w:rPr>
        <w:t xml:space="preserve"> </w:t>
      </w:r>
      <w:r w:rsidR="00C33312" w:rsidRPr="00921938">
        <w:rPr>
          <w:rFonts w:asciiTheme="majorHAnsi" w:hAnsiTheme="majorHAnsi" w:cstheme="majorHAnsi"/>
          <w:i/>
          <w:iCs/>
          <w:sz w:val="24"/>
          <w:szCs w:val="24"/>
          <w:lang w:val="ro-MD"/>
        </w:rPr>
        <w:t xml:space="preserve">cu </w:t>
      </w:r>
      <w:r w:rsidR="00C33312" w:rsidRPr="00921938">
        <w:rPr>
          <w:rFonts w:asciiTheme="majorHAnsi" w:hAnsiTheme="majorHAnsi" w:cstheme="majorHAnsi"/>
          <w:b/>
          <w:i/>
          <w:iCs/>
          <w:sz w:val="24"/>
          <w:szCs w:val="24"/>
          <w:lang w:val="ro-MD"/>
        </w:rPr>
        <w:t>54,25</w:t>
      </w:r>
      <w:r w:rsidR="00C33312" w:rsidRPr="00E95C53">
        <w:rPr>
          <w:rFonts w:asciiTheme="majorHAnsi" w:hAnsiTheme="majorHAnsi" w:cstheme="majorHAnsi"/>
          <w:b/>
          <w:i/>
          <w:iCs/>
          <w:sz w:val="24"/>
          <w:szCs w:val="24"/>
          <w:lang w:val="ro-MD"/>
        </w:rPr>
        <w:t xml:space="preserve"> mil.lei</w:t>
      </w:r>
      <w:r w:rsidR="00C33312" w:rsidRPr="00921938">
        <w:rPr>
          <w:rFonts w:asciiTheme="majorHAnsi" w:hAnsiTheme="majorHAnsi" w:cstheme="majorHAnsi"/>
          <w:i/>
          <w:sz w:val="24"/>
          <w:lang w:val="ro-MD"/>
        </w:rPr>
        <w:t xml:space="preserve"> </w:t>
      </w:r>
      <w:r w:rsidR="00C33312">
        <w:rPr>
          <w:rFonts w:asciiTheme="majorHAnsi" w:hAnsiTheme="majorHAnsi" w:cstheme="majorHAnsi"/>
          <w:i/>
          <w:sz w:val="24"/>
          <w:lang w:val="ro-MD"/>
        </w:rPr>
        <w:t xml:space="preserve">a </w:t>
      </w:r>
      <w:r w:rsidRPr="00921938">
        <w:rPr>
          <w:rFonts w:asciiTheme="majorHAnsi" w:hAnsiTheme="majorHAnsi" w:cstheme="majorHAnsi"/>
          <w:i/>
          <w:sz w:val="24"/>
          <w:lang w:val="ro-MD"/>
        </w:rPr>
        <w:t xml:space="preserve">valorii contului </w:t>
      </w:r>
      <w:r w:rsidR="000C68CB" w:rsidRPr="00921938">
        <w:rPr>
          <w:rFonts w:asciiTheme="majorHAnsi" w:hAnsiTheme="majorHAnsi" w:cstheme="majorHAnsi"/>
          <w:i/>
          <w:iCs/>
          <w:sz w:val="24"/>
          <w:szCs w:val="24"/>
          <w:lang w:val="ro-MD"/>
        </w:rPr>
        <w:t xml:space="preserve">319 </w:t>
      </w:r>
      <w:r w:rsidR="00232FAA" w:rsidRPr="00921938">
        <w:rPr>
          <w:rFonts w:asciiTheme="majorHAnsi" w:hAnsiTheme="majorHAnsi" w:cstheme="majorHAnsi"/>
          <w:i/>
          <w:iCs/>
          <w:sz w:val="24"/>
          <w:szCs w:val="24"/>
          <w:lang w:val="ro-MD"/>
        </w:rPr>
        <w:t>„Investiții capitale</w:t>
      </w:r>
      <w:r w:rsidR="00414134">
        <w:rPr>
          <w:rFonts w:asciiTheme="majorHAnsi" w:hAnsiTheme="majorHAnsi" w:cstheme="majorHAnsi"/>
          <w:i/>
          <w:iCs/>
          <w:sz w:val="24"/>
          <w:szCs w:val="24"/>
          <w:lang w:val="ro-MD"/>
        </w:rPr>
        <w:t xml:space="preserve"> </w:t>
      </w:r>
      <w:r w:rsidR="00232FAA" w:rsidRPr="00921938">
        <w:rPr>
          <w:rFonts w:asciiTheme="majorHAnsi" w:hAnsiTheme="majorHAnsi" w:cstheme="majorHAnsi"/>
          <w:i/>
          <w:iCs/>
          <w:sz w:val="24"/>
          <w:szCs w:val="24"/>
          <w:lang w:val="ro-MD"/>
        </w:rPr>
        <w:t>în active în curs de execuție”</w:t>
      </w:r>
      <w:r w:rsidR="00C33312">
        <w:rPr>
          <w:rFonts w:asciiTheme="majorHAnsi" w:hAnsiTheme="majorHAnsi" w:cstheme="majorHAnsi"/>
          <w:i/>
          <w:iCs/>
          <w:sz w:val="24"/>
          <w:szCs w:val="24"/>
          <w:lang w:val="ro-MD"/>
        </w:rPr>
        <w:t>,</w:t>
      </w:r>
      <w:r w:rsidR="00232FAA" w:rsidRPr="00921938">
        <w:rPr>
          <w:rFonts w:asciiTheme="majorHAnsi" w:hAnsiTheme="majorHAnsi" w:cstheme="majorHAnsi"/>
          <w:i/>
          <w:iCs/>
          <w:sz w:val="24"/>
          <w:szCs w:val="24"/>
          <w:lang w:val="ro-MD"/>
        </w:rPr>
        <w:t xml:space="preserve"> </w:t>
      </w:r>
      <w:r w:rsidR="000C68CB" w:rsidRPr="00921938">
        <w:rPr>
          <w:rFonts w:asciiTheme="majorHAnsi" w:hAnsiTheme="majorHAnsi" w:cstheme="majorHAnsi"/>
          <w:i/>
          <w:iCs/>
          <w:sz w:val="24"/>
          <w:szCs w:val="24"/>
          <w:lang w:val="ro-MD"/>
        </w:rPr>
        <w:t>ca urmare a evidenței duble a investițiilor realizate la Școala de cultur</w:t>
      </w:r>
      <w:r w:rsidR="00C33312">
        <w:rPr>
          <w:rFonts w:asciiTheme="majorHAnsi" w:hAnsiTheme="majorHAnsi" w:cstheme="majorHAnsi"/>
          <w:i/>
          <w:iCs/>
          <w:sz w:val="24"/>
          <w:szCs w:val="24"/>
          <w:lang w:val="ro-MD"/>
        </w:rPr>
        <w:t>ă</w:t>
      </w:r>
      <w:r w:rsidR="000C68CB" w:rsidRPr="00921938">
        <w:rPr>
          <w:rFonts w:asciiTheme="majorHAnsi" w:hAnsiTheme="majorHAnsi" w:cstheme="majorHAnsi"/>
          <w:i/>
          <w:iCs/>
          <w:sz w:val="24"/>
          <w:szCs w:val="24"/>
          <w:lang w:val="ro-MD"/>
        </w:rPr>
        <w:t xml:space="preserve"> generală </w:t>
      </w:r>
      <w:r w:rsidR="00C33312">
        <w:rPr>
          <w:rFonts w:asciiTheme="majorHAnsi" w:hAnsiTheme="majorHAnsi" w:cstheme="majorHAnsi"/>
          <w:i/>
          <w:iCs/>
          <w:sz w:val="24"/>
          <w:szCs w:val="24"/>
          <w:lang w:val="ro-MD"/>
        </w:rPr>
        <w:t xml:space="preserve">din </w:t>
      </w:r>
      <w:r w:rsidR="000C68CB" w:rsidRPr="00921938">
        <w:rPr>
          <w:rFonts w:asciiTheme="majorHAnsi" w:hAnsiTheme="majorHAnsi" w:cstheme="majorHAnsi"/>
          <w:i/>
          <w:iCs/>
          <w:sz w:val="24"/>
          <w:szCs w:val="24"/>
          <w:lang w:val="ro-MD"/>
        </w:rPr>
        <w:t>or. Râbnița at</w:t>
      </w:r>
      <w:r w:rsidR="00C33312">
        <w:rPr>
          <w:rFonts w:asciiTheme="majorHAnsi" w:hAnsiTheme="majorHAnsi" w:cstheme="majorHAnsi"/>
          <w:i/>
          <w:iCs/>
          <w:sz w:val="24"/>
          <w:szCs w:val="24"/>
          <w:lang w:val="ro-MD"/>
        </w:rPr>
        <w:t>â</w:t>
      </w:r>
      <w:r w:rsidR="000C68CB" w:rsidRPr="00921938">
        <w:rPr>
          <w:rFonts w:asciiTheme="majorHAnsi" w:hAnsiTheme="majorHAnsi" w:cstheme="majorHAnsi"/>
          <w:i/>
          <w:iCs/>
          <w:sz w:val="24"/>
          <w:szCs w:val="24"/>
          <w:lang w:val="ro-MD"/>
        </w:rPr>
        <w:t>t de către</w:t>
      </w:r>
      <w:r w:rsidR="007F6719" w:rsidRPr="00921938">
        <w:rPr>
          <w:rFonts w:asciiTheme="majorHAnsi" w:hAnsiTheme="majorHAnsi" w:cstheme="majorHAnsi"/>
          <w:i/>
          <w:iCs/>
          <w:sz w:val="24"/>
          <w:szCs w:val="24"/>
          <w:lang w:val="ro-MD"/>
        </w:rPr>
        <w:t xml:space="preserve"> MECC</w:t>
      </w:r>
      <w:r w:rsidR="00C33312">
        <w:rPr>
          <w:rFonts w:asciiTheme="majorHAnsi" w:hAnsiTheme="majorHAnsi" w:cstheme="majorHAnsi"/>
          <w:i/>
          <w:iCs/>
          <w:sz w:val="24"/>
          <w:szCs w:val="24"/>
          <w:lang w:val="ro-MD"/>
        </w:rPr>
        <w:t>,</w:t>
      </w:r>
      <w:r w:rsidR="007F6719" w:rsidRPr="00921938">
        <w:rPr>
          <w:rFonts w:asciiTheme="majorHAnsi" w:hAnsiTheme="majorHAnsi" w:cstheme="majorHAnsi"/>
          <w:i/>
          <w:iCs/>
          <w:sz w:val="24"/>
          <w:szCs w:val="24"/>
          <w:lang w:val="ro-MD"/>
        </w:rPr>
        <w:t xml:space="preserve"> c</w:t>
      </w:r>
      <w:r w:rsidR="00C33312">
        <w:rPr>
          <w:rFonts w:asciiTheme="majorHAnsi" w:hAnsiTheme="majorHAnsi" w:cstheme="majorHAnsi"/>
          <w:i/>
          <w:iCs/>
          <w:sz w:val="24"/>
          <w:szCs w:val="24"/>
          <w:lang w:val="ro-MD"/>
        </w:rPr>
        <w:t>â</w:t>
      </w:r>
      <w:r w:rsidR="007F6719" w:rsidRPr="00921938">
        <w:rPr>
          <w:rFonts w:asciiTheme="majorHAnsi" w:hAnsiTheme="majorHAnsi" w:cstheme="majorHAnsi"/>
          <w:i/>
          <w:iCs/>
          <w:sz w:val="24"/>
          <w:szCs w:val="24"/>
          <w:lang w:val="ro-MD"/>
        </w:rPr>
        <w:t>t și de către LT Evrika</w:t>
      </w:r>
      <w:r w:rsidR="003E448E" w:rsidRPr="00921938">
        <w:rPr>
          <w:rFonts w:asciiTheme="majorHAnsi" w:hAnsiTheme="majorHAnsi" w:cstheme="majorHAnsi"/>
          <w:i/>
          <w:iCs/>
          <w:sz w:val="24"/>
          <w:szCs w:val="24"/>
          <w:lang w:val="ro-MD"/>
        </w:rPr>
        <w:t xml:space="preserve"> (13,3 mil.lei), precum și </w:t>
      </w:r>
      <w:r w:rsidR="000C68CB" w:rsidRPr="00921938">
        <w:rPr>
          <w:rFonts w:asciiTheme="majorHAnsi" w:hAnsiTheme="majorHAnsi" w:cstheme="majorHAnsi"/>
          <w:i/>
          <w:iCs/>
          <w:sz w:val="24"/>
          <w:szCs w:val="24"/>
          <w:lang w:val="ro-MD"/>
        </w:rPr>
        <w:t xml:space="preserve">la 7 obiecte (14,5 mil.lei) înregistrate și în evidența contabilă a APL, </w:t>
      </w:r>
      <w:r w:rsidR="003E448E" w:rsidRPr="00921938">
        <w:rPr>
          <w:rFonts w:asciiTheme="majorHAnsi" w:hAnsiTheme="majorHAnsi" w:cstheme="majorHAnsi"/>
          <w:i/>
          <w:iCs/>
          <w:sz w:val="24"/>
          <w:szCs w:val="24"/>
          <w:lang w:val="ro-MD"/>
        </w:rPr>
        <w:t>la</w:t>
      </w:r>
      <w:r w:rsidR="000C68CB" w:rsidRPr="00921938">
        <w:rPr>
          <w:rFonts w:asciiTheme="majorHAnsi" w:hAnsiTheme="majorHAnsi" w:cstheme="majorHAnsi"/>
          <w:i/>
          <w:iCs/>
          <w:sz w:val="24"/>
          <w:szCs w:val="24"/>
          <w:lang w:val="ro-MD"/>
        </w:rPr>
        <w:t xml:space="preserve"> 3 obiecte v</w:t>
      </w:r>
      <w:r w:rsidR="00C33312">
        <w:rPr>
          <w:rFonts w:asciiTheme="majorHAnsi" w:hAnsiTheme="majorHAnsi" w:cstheme="majorHAnsi"/>
          <w:i/>
          <w:iCs/>
          <w:sz w:val="24"/>
          <w:szCs w:val="24"/>
          <w:lang w:val="ro-MD"/>
        </w:rPr>
        <w:t>â</w:t>
      </w:r>
      <w:r w:rsidR="000C68CB" w:rsidRPr="00921938">
        <w:rPr>
          <w:rFonts w:asciiTheme="majorHAnsi" w:hAnsiTheme="majorHAnsi" w:cstheme="majorHAnsi"/>
          <w:i/>
          <w:iCs/>
          <w:sz w:val="24"/>
          <w:szCs w:val="24"/>
          <w:lang w:val="ro-MD"/>
        </w:rPr>
        <w:t>ndute de APL</w:t>
      </w:r>
      <w:r w:rsidR="003E448E" w:rsidRPr="00921938">
        <w:rPr>
          <w:rFonts w:asciiTheme="majorHAnsi" w:hAnsiTheme="majorHAnsi" w:cstheme="majorHAnsi"/>
          <w:i/>
          <w:iCs/>
          <w:sz w:val="24"/>
          <w:szCs w:val="24"/>
          <w:lang w:val="ro-MD"/>
        </w:rPr>
        <w:t xml:space="preserve"> (15,5 mil.lei)</w:t>
      </w:r>
      <w:r w:rsidR="003E448E" w:rsidRPr="00921938">
        <w:rPr>
          <w:rStyle w:val="FootnoteReference"/>
          <w:rFonts w:asciiTheme="majorHAnsi" w:hAnsiTheme="majorHAnsi" w:cstheme="majorHAnsi"/>
          <w:i/>
          <w:iCs/>
          <w:sz w:val="24"/>
          <w:szCs w:val="24"/>
          <w:lang w:val="ro-MD"/>
        </w:rPr>
        <w:footnoteReference w:id="6"/>
      </w:r>
      <w:r w:rsidR="007F6719" w:rsidRPr="00921938">
        <w:rPr>
          <w:rFonts w:asciiTheme="majorHAnsi" w:hAnsiTheme="majorHAnsi" w:cstheme="majorHAnsi"/>
          <w:i/>
          <w:iCs/>
          <w:sz w:val="24"/>
          <w:szCs w:val="24"/>
          <w:lang w:val="ro-MD"/>
        </w:rPr>
        <w:t>;</w:t>
      </w:r>
      <w:r w:rsidR="00285192" w:rsidRPr="00921938">
        <w:rPr>
          <w:rFonts w:asciiTheme="majorHAnsi" w:hAnsiTheme="majorHAnsi" w:cstheme="majorHAnsi"/>
          <w:i/>
          <w:iCs/>
          <w:sz w:val="24"/>
          <w:szCs w:val="24"/>
          <w:lang w:val="ro-MD"/>
        </w:rPr>
        <w:t xml:space="preserve"> </w:t>
      </w:r>
      <w:r w:rsidR="00285192" w:rsidRPr="00921938">
        <w:rPr>
          <w:rFonts w:asciiTheme="majorHAnsi" w:hAnsiTheme="majorHAnsi" w:cstheme="majorHAnsi"/>
          <w:i/>
          <w:sz w:val="24"/>
          <w:lang w:val="ro-MD"/>
        </w:rPr>
        <w:t xml:space="preserve">necapitalizării investițiilor realizate la LT Aristotel (7,8 mil.lei); </w:t>
      </w:r>
      <w:r w:rsidR="00285192" w:rsidRPr="00921938">
        <w:rPr>
          <w:rFonts w:asciiTheme="majorHAnsi" w:hAnsiTheme="majorHAnsi" w:cstheme="majorHAnsi"/>
          <w:i/>
          <w:iCs/>
          <w:sz w:val="24"/>
          <w:szCs w:val="24"/>
          <w:lang w:val="ro-MD"/>
        </w:rPr>
        <w:t>neexecutării lucrărilor de construcție facturate (3,15 mil.lei);</w:t>
      </w:r>
    </w:p>
    <w:p w14:paraId="10863D72" w14:textId="31ED39CC" w:rsidR="008B4ECB" w:rsidRPr="00921938" w:rsidRDefault="00232FAA" w:rsidP="00325F1F">
      <w:pPr>
        <w:pStyle w:val="ListParagraph"/>
        <w:tabs>
          <w:tab w:val="left" w:pos="0"/>
        </w:tabs>
        <w:spacing w:line="276" w:lineRule="auto"/>
        <w:ind w:left="0"/>
        <w:rPr>
          <w:rFonts w:asciiTheme="majorHAnsi" w:hAnsiTheme="majorHAnsi" w:cstheme="majorHAnsi"/>
          <w:i/>
          <w:iCs/>
          <w:sz w:val="24"/>
          <w:szCs w:val="24"/>
          <w:lang w:val="ro-MD"/>
        </w:rPr>
      </w:pPr>
      <w:r w:rsidRPr="00E95C53">
        <w:rPr>
          <w:rFonts w:asciiTheme="majorHAnsi" w:hAnsiTheme="majorHAnsi" w:cstheme="majorHAnsi"/>
          <w:b/>
          <w:i/>
          <w:sz w:val="24"/>
          <w:szCs w:val="24"/>
          <w:lang w:val="ro-MD"/>
        </w:rPr>
        <w:t>2.6.</w:t>
      </w:r>
      <w:r w:rsidRPr="00921938">
        <w:rPr>
          <w:rFonts w:asciiTheme="majorHAnsi" w:hAnsiTheme="majorHAnsi" w:cstheme="majorHAnsi"/>
          <w:i/>
          <w:sz w:val="24"/>
          <w:szCs w:val="24"/>
          <w:lang w:val="ro-MD"/>
        </w:rPr>
        <w:t xml:space="preserve"> </w:t>
      </w:r>
      <w:r w:rsidR="008B4ECB" w:rsidRPr="00921938">
        <w:rPr>
          <w:rFonts w:asciiTheme="majorHAnsi" w:hAnsiTheme="majorHAnsi" w:cstheme="majorHAnsi"/>
          <w:i/>
          <w:sz w:val="24"/>
          <w:szCs w:val="24"/>
          <w:lang w:val="ro-MD"/>
        </w:rPr>
        <w:t xml:space="preserve">diminuarea valorii contului „Alte mijloace fixe” cu cel puțin </w:t>
      </w:r>
      <w:r w:rsidR="00636722" w:rsidRPr="00E95C53">
        <w:rPr>
          <w:rFonts w:asciiTheme="majorHAnsi" w:hAnsiTheme="majorHAnsi" w:cstheme="majorHAnsi"/>
          <w:b/>
          <w:i/>
          <w:sz w:val="24"/>
          <w:szCs w:val="24"/>
          <w:lang w:val="ro-MD"/>
        </w:rPr>
        <w:t>107,72</w:t>
      </w:r>
      <w:r w:rsidR="008B4ECB" w:rsidRPr="00E95C53">
        <w:rPr>
          <w:rFonts w:asciiTheme="majorHAnsi" w:hAnsiTheme="majorHAnsi" w:cstheme="majorHAnsi"/>
          <w:b/>
          <w:i/>
          <w:sz w:val="24"/>
          <w:szCs w:val="24"/>
          <w:lang w:val="ro-MD"/>
        </w:rPr>
        <w:t xml:space="preserve"> mil.lei</w:t>
      </w:r>
      <w:r w:rsidR="008B4ECB" w:rsidRPr="00921938">
        <w:rPr>
          <w:rFonts w:asciiTheme="majorHAnsi" w:hAnsiTheme="majorHAnsi" w:cstheme="majorHAnsi"/>
          <w:i/>
          <w:sz w:val="24"/>
          <w:szCs w:val="24"/>
          <w:lang w:val="ro-MD"/>
        </w:rPr>
        <w:t>, ca urmare a neînregistrării ca proprietate a MECC a fondului de manuale încadrat în schema de închiriere</w:t>
      </w:r>
      <w:r w:rsidR="00285192" w:rsidRPr="00921938">
        <w:rPr>
          <w:rFonts w:asciiTheme="majorHAnsi" w:hAnsiTheme="majorHAnsi" w:cstheme="majorHAnsi"/>
          <w:i/>
          <w:sz w:val="24"/>
          <w:szCs w:val="24"/>
          <w:lang w:val="ro-MD"/>
        </w:rPr>
        <w:t xml:space="preserve"> (106,1 mil.lei)</w:t>
      </w:r>
      <w:r w:rsidR="008B4ECB" w:rsidRPr="00921938">
        <w:rPr>
          <w:rFonts w:asciiTheme="majorHAnsi" w:hAnsiTheme="majorHAnsi" w:cstheme="majorHAnsi"/>
          <w:i/>
          <w:sz w:val="24"/>
          <w:szCs w:val="24"/>
          <w:lang w:val="ro-MD"/>
        </w:rPr>
        <w:t>;</w:t>
      </w:r>
      <w:r w:rsidR="00636722" w:rsidRPr="00921938">
        <w:rPr>
          <w:rFonts w:asciiTheme="majorHAnsi" w:hAnsiTheme="majorHAnsi" w:cstheme="majorHAnsi"/>
          <w:i/>
          <w:iCs/>
          <w:sz w:val="24"/>
          <w:szCs w:val="24"/>
          <w:lang w:val="ro-MD"/>
        </w:rPr>
        <w:t xml:space="preserve"> clasificării și raportării </w:t>
      </w:r>
      <w:r w:rsidR="000909D2" w:rsidRPr="00921938">
        <w:rPr>
          <w:rFonts w:asciiTheme="majorHAnsi" w:hAnsiTheme="majorHAnsi" w:cstheme="majorHAnsi"/>
          <w:i/>
          <w:iCs/>
          <w:sz w:val="24"/>
          <w:szCs w:val="24"/>
          <w:lang w:val="ro-MD"/>
        </w:rPr>
        <w:t>c</w:t>
      </w:r>
      <w:r w:rsidR="00636722" w:rsidRPr="00921938">
        <w:rPr>
          <w:rFonts w:asciiTheme="majorHAnsi" w:hAnsiTheme="majorHAnsi" w:cstheme="majorHAnsi"/>
          <w:i/>
          <w:iCs/>
          <w:sz w:val="24"/>
          <w:szCs w:val="24"/>
          <w:lang w:val="ro-MD"/>
        </w:rPr>
        <w:t xml:space="preserve">a cheltuieli </w:t>
      </w:r>
      <w:r w:rsidR="000909D2" w:rsidRPr="00921938">
        <w:rPr>
          <w:rFonts w:asciiTheme="majorHAnsi" w:hAnsiTheme="majorHAnsi" w:cstheme="majorHAnsi"/>
          <w:i/>
          <w:iCs/>
          <w:sz w:val="24"/>
          <w:szCs w:val="24"/>
          <w:lang w:val="ro-MD"/>
        </w:rPr>
        <w:t xml:space="preserve">a </w:t>
      </w:r>
      <w:r w:rsidR="00636722" w:rsidRPr="00921938">
        <w:rPr>
          <w:rFonts w:asciiTheme="majorHAnsi" w:hAnsiTheme="majorHAnsi" w:cstheme="majorHAnsi"/>
          <w:i/>
          <w:iCs/>
          <w:sz w:val="24"/>
          <w:szCs w:val="24"/>
          <w:lang w:val="ro-MD"/>
        </w:rPr>
        <w:t>produselor curriculare</w:t>
      </w:r>
      <w:r w:rsidR="000909D2" w:rsidRPr="00921938">
        <w:rPr>
          <w:rFonts w:asciiTheme="majorHAnsi" w:hAnsiTheme="majorHAnsi" w:cstheme="majorHAnsi"/>
          <w:i/>
          <w:iCs/>
          <w:sz w:val="24"/>
          <w:szCs w:val="24"/>
          <w:lang w:val="ro-MD"/>
        </w:rPr>
        <w:t xml:space="preserve"> tipărite (1,62 mil.lei);</w:t>
      </w:r>
    </w:p>
    <w:p w14:paraId="6FFBB12A" w14:textId="4EEA5540" w:rsidR="00E92238" w:rsidRPr="00921938" w:rsidRDefault="00E92238" w:rsidP="00325F1F">
      <w:pPr>
        <w:pStyle w:val="ListParagraph"/>
        <w:tabs>
          <w:tab w:val="left" w:pos="0"/>
        </w:tabs>
        <w:spacing w:line="276" w:lineRule="auto"/>
        <w:ind w:left="0"/>
        <w:rPr>
          <w:rFonts w:asciiTheme="majorHAnsi" w:hAnsiTheme="majorHAnsi" w:cstheme="majorHAnsi"/>
          <w:i/>
          <w:iCs/>
          <w:sz w:val="24"/>
          <w:szCs w:val="24"/>
          <w:lang w:val="ro-MD"/>
        </w:rPr>
      </w:pPr>
      <w:r w:rsidRPr="00E95C53">
        <w:rPr>
          <w:rFonts w:asciiTheme="majorHAnsi" w:hAnsiTheme="majorHAnsi" w:cstheme="majorHAnsi"/>
          <w:b/>
          <w:i/>
          <w:iCs/>
          <w:sz w:val="24"/>
          <w:szCs w:val="24"/>
          <w:lang w:val="ro-MD"/>
        </w:rPr>
        <w:t>2.7.</w:t>
      </w:r>
      <w:r w:rsidRPr="00921938">
        <w:rPr>
          <w:rFonts w:asciiTheme="majorHAnsi" w:hAnsiTheme="majorHAnsi" w:cstheme="majorHAnsi"/>
          <w:i/>
          <w:iCs/>
          <w:sz w:val="24"/>
          <w:szCs w:val="24"/>
          <w:lang w:val="ro-MD"/>
        </w:rPr>
        <w:t xml:space="preserve"> </w:t>
      </w:r>
      <w:r w:rsidR="002D1808" w:rsidRPr="00921938">
        <w:rPr>
          <w:rFonts w:asciiTheme="majorHAnsi" w:hAnsiTheme="majorHAnsi" w:cstheme="majorHAnsi"/>
          <w:i/>
          <w:iCs/>
          <w:sz w:val="24"/>
          <w:szCs w:val="24"/>
          <w:lang w:val="ro-MD"/>
        </w:rPr>
        <w:t xml:space="preserve">diminuarea valorii activelor moștenirii culturale (cont 363) cu </w:t>
      </w:r>
      <w:r w:rsidR="002D1808" w:rsidRPr="0045010F">
        <w:rPr>
          <w:rFonts w:asciiTheme="majorHAnsi" w:hAnsiTheme="majorHAnsi" w:cstheme="majorHAnsi"/>
          <w:b/>
          <w:i/>
          <w:iCs/>
          <w:sz w:val="24"/>
          <w:szCs w:val="24"/>
          <w:lang w:val="ro-MD"/>
        </w:rPr>
        <w:t>188,63 mil.lei</w:t>
      </w:r>
      <w:r w:rsidR="002D1808" w:rsidRPr="00921938">
        <w:rPr>
          <w:rFonts w:asciiTheme="majorHAnsi" w:hAnsiTheme="majorHAnsi" w:cstheme="majorHAnsi"/>
          <w:i/>
          <w:iCs/>
          <w:sz w:val="24"/>
          <w:szCs w:val="24"/>
          <w:lang w:val="ro-MD"/>
        </w:rPr>
        <w:t xml:space="preserve">, </w:t>
      </w:r>
      <w:r w:rsidR="00414134">
        <w:rPr>
          <w:rFonts w:asciiTheme="majorHAnsi" w:hAnsiTheme="majorHAnsi" w:cstheme="majorHAnsi"/>
          <w:i/>
          <w:iCs/>
          <w:sz w:val="24"/>
          <w:szCs w:val="24"/>
          <w:lang w:val="ro-MD"/>
        </w:rPr>
        <w:t xml:space="preserve"> </w:t>
      </w:r>
      <w:r w:rsidR="00C33312">
        <w:rPr>
          <w:rFonts w:asciiTheme="majorHAnsi" w:hAnsiTheme="majorHAnsi" w:cstheme="majorHAnsi"/>
          <w:i/>
          <w:iCs/>
          <w:sz w:val="24"/>
          <w:szCs w:val="24"/>
          <w:lang w:val="ro-MD"/>
        </w:rPr>
        <w:t>din cauza</w:t>
      </w:r>
      <w:r w:rsidR="00414134">
        <w:rPr>
          <w:rFonts w:asciiTheme="majorHAnsi" w:hAnsiTheme="majorHAnsi" w:cstheme="majorHAnsi"/>
          <w:i/>
          <w:iCs/>
          <w:sz w:val="24"/>
          <w:szCs w:val="24"/>
          <w:lang w:val="ro-MD"/>
        </w:rPr>
        <w:t xml:space="preserve"> </w:t>
      </w:r>
      <w:r w:rsidR="00780F03" w:rsidRPr="00921938">
        <w:rPr>
          <w:rFonts w:asciiTheme="majorHAnsi" w:hAnsiTheme="majorHAnsi" w:cstheme="majorHAnsi"/>
          <w:i/>
          <w:sz w:val="24"/>
          <w:szCs w:val="24"/>
          <w:lang w:val="ro-MD"/>
        </w:rPr>
        <w:t>necontabiliz</w:t>
      </w:r>
      <w:r w:rsidR="002D1808" w:rsidRPr="00921938">
        <w:rPr>
          <w:rFonts w:asciiTheme="majorHAnsi" w:hAnsiTheme="majorHAnsi" w:cstheme="majorHAnsi"/>
          <w:i/>
          <w:sz w:val="24"/>
          <w:szCs w:val="24"/>
          <w:lang w:val="ro-MD"/>
        </w:rPr>
        <w:t xml:space="preserve">ării: </w:t>
      </w:r>
      <w:r w:rsidR="00780F03" w:rsidRPr="00921938">
        <w:rPr>
          <w:rFonts w:asciiTheme="majorHAnsi" w:hAnsiTheme="majorHAnsi" w:cstheme="majorHAnsi"/>
          <w:i/>
          <w:sz w:val="24"/>
          <w:szCs w:val="24"/>
          <w:lang w:val="ro-MD"/>
        </w:rPr>
        <w:t>clădirilor-monumente cu valoare</w:t>
      </w:r>
      <w:r w:rsidR="00C33312">
        <w:rPr>
          <w:rFonts w:asciiTheme="majorHAnsi" w:hAnsiTheme="majorHAnsi" w:cstheme="majorHAnsi"/>
          <w:i/>
          <w:sz w:val="24"/>
          <w:szCs w:val="24"/>
          <w:lang w:val="ro-MD"/>
        </w:rPr>
        <w:t>a</w:t>
      </w:r>
      <w:r w:rsidR="00780F03" w:rsidRPr="00921938">
        <w:rPr>
          <w:rFonts w:asciiTheme="majorHAnsi" w:hAnsiTheme="majorHAnsi" w:cstheme="majorHAnsi"/>
          <w:i/>
          <w:sz w:val="24"/>
          <w:szCs w:val="24"/>
          <w:lang w:val="ro-MD"/>
        </w:rPr>
        <w:t xml:space="preserve"> de cel puțin 188,3 mil.lei</w:t>
      </w:r>
      <w:r w:rsidR="00F774CD" w:rsidRPr="00921938">
        <w:rPr>
          <w:rStyle w:val="FootnoteReference"/>
          <w:rFonts w:asciiTheme="majorHAnsi" w:hAnsiTheme="majorHAnsi" w:cstheme="majorHAnsi"/>
          <w:i/>
          <w:sz w:val="24"/>
          <w:szCs w:val="24"/>
          <w:lang w:val="ro-MD"/>
        </w:rPr>
        <w:footnoteReference w:id="7"/>
      </w:r>
      <w:r w:rsidR="00780F03" w:rsidRPr="00921938">
        <w:rPr>
          <w:rFonts w:asciiTheme="majorHAnsi" w:hAnsiTheme="majorHAnsi" w:cstheme="majorHAnsi"/>
          <w:i/>
          <w:sz w:val="24"/>
          <w:szCs w:val="24"/>
          <w:lang w:val="ro-MD"/>
        </w:rPr>
        <w:t xml:space="preserve"> (2 din 634 </w:t>
      </w:r>
      <w:r w:rsidR="00C33312">
        <w:rPr>
          <w:rFonts w:asciiTheme="majorHAnsi" w:hAnsiTheme="majorHAnsi" w:cstheme="majorHAnsi"/>
          <w:i/>
          <w:sz w:val="24"/>
          <w:szCs w:val="24"/>
          <w:lang w:val="ro-MD"/>
        </w:rPr>
        <w:t xml:space="preserve">de </w:t>
      </w:r>
      <w:r w:rsidR="00780F03" w:rsidRPr="00921938">
        <w:rPr>
          <w:rFonts w:asciiTheme="majorHAnsi" w:hAnsiTheme="majorHAnsi" w:cstheme="majorHAnsi"/>
          <w:i/>
          <w:sz w:val="24"/>
          <w:szCs w:val="24"/>
          <w:lang w:val="ro-MD"/>
        </w:rPr>
        <w:t>monumente/edificii de cult ocrotite de stat aflate în proprietatea de stat</w:t>
      </w:r>
      <w:r w:rsidR="00780F03" w:rsidRPr="00921938">
        <w:rPr>
          <w:rStyle w:val="FootnoteReference"/>
          <w:rFonts w:asciiTheme="majorHAnsi" w:hAnsiTheme="majorHAnsi" w:cstheme="majorHAnsi"/>
          <w:i/>
          <w:sz w:val="24"/>
          <w:szCs w:val="24"/>
          <w:lang w:val="ro-MD"/>
        </w:rPr>
        <w:footnoteReference w:id="8"/>
      </w:r>
      <w:r w:rsidR="00780F03" w:rsidRPr="00921938">
        <w:rPr>
          <w:rFonts w:asciiTheme="majorHAnsi" w:hAnsiTheme="majorHAnsi" w:cstheme="majorHAnsi"/>
          <w:i/>
          <w:sz w:val="24"/>
          <w:szCs w:val="24"/>
          <w:lang w:val="ro-MD"/>
        </w:rPr>
        <w:t>)</w:t>
      </w:r>
      <w:r w:rsidR="002D1808" w:rsidRPr="00921938">
        <w:rPr>
          <w:rFonts w:asciiTheme="majorHAnsi" w:hAnsiTheme="majorHAnsi" w:cstheme="majorHAnsi"/>
          <w:i/>
          <w:sz w:val="24"/>
          <w:szCs w:val="24"/>
          <w:lang w:val="ro-MD"/>
        </w:rPr>
        <w:t xml:space="preserve">; </w:t>
      </w:r>
      <w:r w:rsidR="002D1808" w:rsidRPr="00921938">
        <w:rPr>
          <w:rFonts w:asciiTheme="majorHAnsi" w:hAnsiTheme="majorHAnsi" w:cstheme="majorHAnsi"/>
          <w:i/>
          <w:iCs/>
          <w:sz w:val="24"/>
          <w:szCs w:val="24"/>
          <w:lang w:val="ro-MD"/>
        </w:rPr>
        <w:t xml:space="preserve">neînregistrării </w:t>
      </w:r>
      <w:r w:rsidR="00C57CE2" w:rsidRPr="00921938">
        <w:rPr>
          <w:rFonts w:asciiTheme="majorHAnsi" w:hAnsiTheme="majorHAnsi" w:cstheme="majorHAnsi"/>
          <w:i/>
          <w:iCs/>
          <w:sz w:val="24"/>
          <w:szCs w:val="24"/>
          <w:lang w:val="ro-MD"/>
        </w:rPr>
        <w:t xml:space="preserve">unui </w:t>
      </w:r>
      <w:r w:rsidR="002D1808" w:rsidRPr="00921938">
        <w:rPr>
          <w:rFonts w:asciiTheme="majorHAnsi" w:hAnsiTheme="majorHAnsi" w:cstheme="majorHAnsi"/>
          <w:i/>
          <w:iCs/>
          <w:sz w:val="24"/>
          <w:szCs w:val="24"/>
          <w:lang w:val="ro-MD"/>
        </w:rPr>
        <w:t>bust</w:t>
      </w:r>
      <w:r w:rsidR="002D1808" w:rsidRPr="00921938">
        <w:rPr>
          <w:rStyle w:val="FootnoteReference"/>
          <w:rFonts w:asciiTheme="majorHAnsi" w:hAnsiTheme="majorHAnsi" w:cstheme="majorHAnsi"/>
          <w:i/>
          <w:sz w:val="24"/>
          <w:szCs w:val="24"/>
          <w:lang w:val="ro-MD"/>
        </w:rPr>
        <w:footnoteReference w:id="9"/>
      </w:r>
      <w:r w:rsidR="002D1808" w:rsidRPr="00921938">
        <w:rPr>
          <w:rFonts w:asciiTheme="majorHAnsi" w:hAnsiTheme="majorHAnsi" w:cstheme="majorHAnsi"/>
          <w:i/>
          <w:iCs/>
          <w:sz w:val="24"/>
          <w:szCs w:val="24"/>
          <w:lang w:val="ro-MD"/>
        </w:rPr>
        <w:t xml:space="preserve"> primit cu titlu gratuit de la MECC (0,23 mil.lei), fiind diminuat contul „Venituri de la active intrate cu titlu gratuit” (cont 149200)</w:t>
      </w:r>
      <w:r w:rsidR="00780F03" w:rsidRPr="00921938">
        <w:rPr>
          <w:rFonts w:asciiTheme="majorHAnsi" w:hAnsiTheme="majorHAnsi" w:cstheme="majorHAnsi"/>
          <w:i/>
          <w:sz w:val="24"/>
          <w:szCs w:val="24"/>
          <w:lang w:val="ro-MD"/>
        </w:rPr>
        <w:t>;</w:t>
      </w:r>
      <w:r w:rsidR="002D1808" w:rsidRPr="00921938">
        <w:rPr>
          <w:rFonts w:asciiTheme="majorHAnsi" w:hAnsiTheme="majorHAnsi" w:cstheme="majorHAnsi"/>
          <w:i/>
          <w:sz w:val="24"/>
          <w:szCs w:val="24"/>
          <w:lang w:val="ro-MD"/>
        </w:rPr>
        <w:t xml:space="preserve"> </w:t>
      </w:r>
      <w:r w:rsidR="002D1808" w:rsidRPr="00921938">
        <w:rPr>
          <w:rFonts w:asciiTheme="majorHAnsi" w:hAnsiTheme="majorHAnsi" w:cstheme="majorHAnsi"/>
          <w:i/>
          <w:iCs/>
          <w:sz w:val="24"/>
          <w:szCs w:val="24"/>
          <w:lang w:val="ro-MD"/>
        </w:rPr>
        <w:t>casării neargumentate a bunurilor muzeale mobile procurate (0,1 mil.lei), fiind majorate cheltuielile privind transmiterea activelor cu titlu gratuit (cont 289200);</w:t>
      </w:r>
    </w:p>
    <w:p w14:paraId="3E9398E7" w14:textId="02298EFE" w:rsidR="00E22AFA" w:rsidRPr="00921938" w:rsidRDefault="00E92238" w:rsidP="00325F1F">
      <w:pPr>
        <w:pStyle w:val="ListParagraph"/>
        <w:tabs>
          <w:tab w:val="left" w:pos="0"/>
        </w:tabs>
        <w:spacing w:line="276" w:lineRule="auto"/>
        <w:ind w:left="0"/>
        <w:rPr>
          <w:rFonts w:asciiTheme="majorHAnsi" w:hAnsiTheme="majorHAnsi" w:cstheme="majorHAnsi"/>
          <w:i/>
          <w:iCs/>
          <w:sz w:val="24"/>
          <w:szCs w:val="24"/>
          <w:lang w:val="ro-MD"/>
        </w:rPr>
      </w:pPr>
      <w:r w:rsidRPr="00E95C53">
        <w:rPr>
          <w:rFonts w:asciiTheme="majorHAnsi" w:hAnsiTheme="majorHAnsi" w:cstheme="majorHAnsi"/>
          <w:b/>
          <w:i/>
          <w:iCs/>
          <w:sz w:val="24"/>
          <w:szCs w:val="24"/>
          <w:lang w:val="ro-MD"/>
        </w:rPr>
        <w:t>2.8</w:t>
      </w:r>
      <w:r w:rsidRPr="00921938">
        <w:rPr>
          <w:rFonts w:asciiTheme="majorHAnsi" w:hAnsiTheme="majorHAnsi" w:cstheme="majorHAnsi"/>
          <w:i/>
          <w:iCs/>
          <w:sz w:val="24"/>
          <w:szCs w:val="24"/>
          <w:lang w:val="ro-MD"/>
        </w:rPr>
        <w:t>.</w:t>
      </w:r>
      <w:r w:rsidR="00414134">
        <w:rPr>
          <w:rFonts w:asciiTheme="majorHAnsi" w:hAnsiTheme="majorHAnsi" w:cstheme="majorHAnsi"/>
          <w:i/>
          <w:iCs/>
          <w:sz w:val="24"/>
          <w:szCs w:val="24"/>
          <w:lang w:val="ro-MD"/>
        </w:rPr>
        <w:t xml:space="preserve"> </w:t>
      </w:r>
      <w:r w:rsidR="002D1808" w:rsidRPr="00921938">
        <w:rPr>
          <w:rFonts w:asciiTheme="majorHAnsi" w:hAnsiTheme="majorHAnsi" w:cstheme="majorHAnsi"/>
          <w:i/>
          <w:iCs/>
          <w:sz w:val="24"/>
          <w:szCs w:val="24"/>
          <w:lang w:val="ro-MD"/>
        </w:rPr>
        <w:t xml:space="preserve"> </w:t>
      </w:r>
      <w:r w:rsidR="00202E35" w:rsidRPr="00921938">
        <w:rPr>
          <w:rFonts w:asciiTheme="majorHAnsi" w:hAnsiTheme="majorHAnsi" w:cstheme="majorHAnsi"/>
          <w:i/>
          <w:iCs/>
          <w:sz w:val="24"/>
          <w:szCs w:val="24"/>
          <w:lang w:val="ro-MD"/>
        </w:rPr>
        <w:t xml:space="preserve">diminuarea valorii contului „Active nemateriale” cu </w:t>
      </w:r>
      <w:r w:rsidRPr="0045010F">
        <w:rPr>
          <w:rFonts w:asciiTheme="majorHAnsi" w:hAnsiTheme="majorHAnsi" w:cstheme="majorHAnsi"/>
          <w:b/>
          <w:i/>
          <w:iCs/>
          <w:sz w:val="24"/>
          <w:szCs w:val="24"/>
          <w:lang w:val="ro-MD"/>
        </w:rPr>
        <w:t>47,28</w:t>
      </w:r>
      <w:r w:rsidR="00202E35" w:rsidRPr="0045010F">
        <w:rPr>
          <w:rFonts w:asciiTheme="majorHAnsi" w:hAnsiTheme="majorHAnsi" w:cstheme="majorHAnsi"/>
          <w:b/>
          <w:i/>
          <w:iCs/>
          <w:sz w:val="24"/>
          <w:szCs w:val="24"/>
          <w:lang w:val="ro-MD"/>
        </w:rPr>
        <w:t xml:space="preserve"> mil.lei</w:t>
      </w:r>
      <w:r w:rsidR="00E22AFA" w:rsidRPr="00921938">
        <w:rPr>
          <w:rFonts w:asciiTheme="majorHAnsi" w:hAnsiTheme="majorHAnsi" w:cstheme="majorHAnsi"/>
          <w:i/>
          <w:iCs/>
          <w:sz w:val="24"/>
          <w:szCs w:val="24"/>
          <w:lang w:val="ro-MD"/>
        </w:rPr>
        <w:t xml:space="preserve">, </w:t>
      </w:r>
      <w:r w:rsidR="00C33312">
        <w:rPr>
          <w:rFonts w:asciiTheme="majorHAnsi" w:hAnsiTheme="majorHAnsi" w:cstheme="majorHAnsi"/>
          <w:i/>
          <w:iCs/>
          <w:sz w:val="24"/>
          <w:szCs w:val="24"/>
          <w:lang w:val="ro-MD"/>
        </w:rPr>
        <w:t>din cauza</w:t>
      </w:r>
      <w:r w:rsidR="00C33312" w:rsidRPr="00921938">
        <w:rPr>
          <w:rFonts w:asciiTheme="majorHAnsi" w:hAnsiTheme="majorHAnsi" w:cstheme="majorHAnsi"/>
          <w:i/>
          <w:iCs/>
          <w:sz w:val="24"/>
          <w:szCs w:val="24"/>
          <w:lang w:val="ro-MD"/>
        </w:rPr>
        <w:t xml:space="preserve"> </w:t>
      </w:r>
      <w:r w:rsidR="00E22AFA" w:rsidRPr="00921938">
        <w:rPr>
          <w:rFonts w:asciiTheme="majorHAnsi" w:hAnsiTheme="majorHAnsi" w:cstheme="majorHAnsi"/>
          <w:i/>
          <w:iCs/>
          <w:sz w:val="24"/>
          <w:szCs w:val="24"/>
          <w:lang w:val="ro-MD"/>
        </w:rPr>
        <w:t xml:space="preserve">neînregistrării </w:t>
      </w:r>
      <w:r w:rsidR="00202E35" w:rsidRPr="00921938">
        <w:rPr>
          <w:rFonts w:asciiTheme="majorHAnsi" w:hAnsiTheme="majorHAnsi" w:cstheme="majorHAnsi"/>
          <w:i/>
          <w:iCs/>
          <w:sz w:val="24"/>
          <w:szCs w:val="24"/>
          <w:lang w:val="ro-MD"/>
        </w:rPr>
        <w:t>ca active nemateriale a</w:t>
      </w:r>
      <w:r w:rsidR="00414134">
        <w:rPr>
          <w:rFonts w:asciiTheme="majorHAnsi" w:hAnsiTheme="majorHAnsi" w:cstheme="majorHAnsi"/>
          <w:i/>
          <w:iCs/>
          <w:sz w:val="24"/>
          <w:szCs w:val="24"/>
          <w:lang w:val="ro-MD"/>
        </w:rPr>
        <w:t xml:space="preserve"> </w:t>
      </w:r>
      <w:r w:rsidR="00E22AFA" w:rsidRPr="00921938">
        <w:rPr>
          <w:rFonts w:asciiTheme="majorHAnsi" w:hAnsiTheme="majorHAnsi" w:cstheme="majorHAnsi"/>
          <w:i/>
          <w:iCs/>
          <w:sz w:val="24"/>
          <w:szCs w:val="24"/>
          <w:lang w:val="ro-MD"/>
        </w:rPr>
        <w:t>rezultatelor cercetărilor științ</w:t>
      </w:r>
      <w:r w:rsidR="00202E35" w:rsidRPr="00921938">
        <w:rPr>
          <w:rFonts w:asciiTheme="majorHAnsi" w:hAnsiTheme="majorHAnsi" w:cstheme="majorHAnsi"/>
          <w:i/>
          <w:iCs/>
          <w:sz w:val="24"/>
          <w:szCs w:val="24"/>
          <w:lang w:val="ro-MD"/>
        </w:rPr>
        <w:t>i</w:t>
      </w:r>
      <w:r w:rsidR="00E22AFA" w:rsidRPr="00921938">
        <w:rPr>
          <w:rFonts w:asciiTheme="majorHAnsi" w:hAnsiTheme="majorHAnsi" w:cstheme="majorHAnsi"/>
          <w:i/>
          <w:iCs/>
          <w:sz w:val="24"/>
          <w:szCs w:val="24"/>
          <w:lang w:val="ro-MD"/>
        </w:rPr>
        <w:t>fice</w:t>
      </w:r>
      <w:r w:rsidRPr="00921938">
        <w:rPr>
          <w:rFonts w:asciiTheme="majorHAnsi" w:hAnsiTheme="majorHAnsi" w:cstheme="majorHAnsi"/>
          <w:i/>
          <w:iCs/>
          <w:sz w:val="24"/>
          <w:szCs w:val="24"/>
          <w:lang w:val="ro-MD"/>
        </w:rPr>
        <w:t xml:space="preserve"> (32,84 mil.lei)</w:t>
      </w:r>
      <w:r w:rsidR="00232FAA" w:rsidRPr="00921938">
        <w:rPr>
          <w:rFonts w:asciiTheme="majorHAnsi" w:hAnsiTheme="majorHAnsi" w:cstheme="majorHAnsi"/>
          <w:i/>
          <w:iCs/>
          <w:sz w:val="24"/>
          <w:szCs w:val="24"/>
          <w:lang w:val="ro-MD"/>
        </w:rPr>
        <w:t>,</w:t>
      </w:r>
      <w:r w:rsidRPr="00921938">
        <w:rPr>
          <w:rFonts w:asciiTheme="majorHAnsi" w:hAnsiTheme="majorHAnsi" w:cstheme="majorHAnsi"/>
          <w:i/>
          <w:iCs/>
          <w:sz w:val="24"/>
          <w:szCs w:val="24"/>
          <w:lang w:val="ro-MD"/>
        </w:rPr>
        <w:t xml:space="preserve"> </w:t>
      </w:r>
      <w:r w:rsidR="00202E35" w:rsidRPr="00921938">
        <w:rPr>
          <w:rFonts w:asciiTheme="majorHAnsi" w:hAnsiTheme="majorHAnsi" w:cstheme="majorHAnsi"/>
          <w:i/>
          <w:iCs/>
          <w:sz w:val="24"/>
          <w:szCs w:val="24"/>
          <w:lang w:val="ro-MD"/>
        </w:rPr>
        <w:t xml:space="preserve">web-site-lor și programelor create </w:t>
      </w:r>
      <w:r w:rsidRPr="00921938">
        <w:rPr>
          <w:rFonts w:asciiTheme="majorHAnsi" w:hAnsiTheme="majorHAnsi" w:cstheme="majorHAnsi"/>
          <w:i/>
          <w:iCs/>
          <w:sz w:val="24"/>
          <w:szCs w:val="24"/>
          <w:lang w:val="ro-MD"/>
        </w:rPr>
        <w:t>(0,2 mil.lei)</w:t>
      </w:r>
      <w:r w:rsidRPr="00921938">
        <w:rPr>
          <w:rStyle w:val="FootnoteReference"/>
          <w:rFonts w:asciiTheme="majorHAnsi" w:hAnsiTheme="majorHAnsi" w:cstheme="majorHAnsi"/>
          <w:i/>
          <w:iCs/>
          <w:sz w:val="24"/>
          <w:szCs w:val="24"/>
          <w:lang w:val="ro-MD"/>
        </w:rPr>
        <w:footnoteReference w:id="10"/>
      </w:r>
      <w:r w:rsidR="00232FAA" w:rsidRPr="00921938">
        <w:rPr>
          <w:rFonts w:asciiTheme="majorHAnsi" w:hAnsiTheme="majorHAnsi" w:cstheme="majorHAnsi"/>
          <w:i/>
          <w:iCs/>
          <w:sz w:val="24"/>
          <w:szCs w:val="24"/>
          <w:lang w:val="ro-MD"/>
        </w:rPr>
        <w:t xml:space="preserve">, </w:t>
      </w:r>
      <w:r w:rsidR="00C33312">
        <w:rPr>
          <w:rFonts w:asciiTheme="majorHAnsi" w:hAnsiTheme="majorHAnsi" w:cstheme="majorHAnsi"/>
          <w:i/>
          <w:iCs/>
          <w:sz w:val="24"/>
          <w:szCs w:val="24"/>
          <w:lang w:val="ro-MD"/>
        </w:rPr>
        <w:t xml:space="preserve">precum și </w:t>
      </w:r>
      <w:r w:rsidRPr="00921938">
        <w:rPr>
          <w:rFonts w:asciiTheme="majorHAnsi" w:hAnsiTheme="majorHAnsi" w:cstheme="majorHAnsi"/>
          <w:i/>
          <w:iCs/>
          <w:sz w:val="24"/>
          <w:szCs w:val="24"/>
          <w:lang w:val="ro-MD"/>
        </w:rPr>
        <w:t>elaborării produselor curriculare (14,24 mil.lei)</w:t>
      </w:r>
      <w:r w:rsidR="00232FAA" w:rsidRPr="00921938">
        <w:rPr>
          <w:rFonts w:asciiTheme="majorHAnsi" w:hAnsiTheme="majorHAnsi" w:cstheme="majorHAnsi"/>
          <w:i/>
          <w:iCs/>
          <w:sz w:val="24"/>
          <w:szCs w:val="24"/>
          <w:lang w:val="ro-MD"/>
        </w:rPr>
        <w:t>;</w:t>
      </w:r>
    </w:p>
    <w:p w14:paraId="138E3740" w14:textId="0B1E142F" w:rsidR="000B1A2E" w:rsidRPr="00921938" w:rsidRDefault="00232FAA" w:rsidP="00325F1F">
      <w:pPr>
        <w:pStyle w:val="ListParagraph"/>
        <w:spacing w:line="276" w:lineRule="auto"/>
        <w:ind w:left="0"/>
        <w:rPr>
          <w:rFonts w:asciiTheme="majorHAnsi" w:hAnsiTheme="majorHAnsi" w:cstheme="majorHAnsi"/>
          <w:i/>
          <w:iCs/>
          <w:sz w:val="24"/>
          <w:szCs w:val="24"/>
          <w:lang w:val="ro-MD"/>
        </w:rPr>
      </w:pPr>
      <w:r w:rsidRPr="00E95C53">
        <w:rPr>
          <w:rFonts w:asciiTheme="majorHAnsi" w:hAnsiTheme="majorHAnsi" w:cstheme="majorHAnsi"/>
          <w:b/>
          <w:i/>
          <w:iCs/>
          <w:sz w:val="24"/>
          <w:szCs w:val="24"/>
          <w:lang w:val="ro-MD"/>
        </w:rPr>
        <w:t>2.9.</w:t>
      </w:r>
      <w:r w:rsidRPr="00921938">
        <w:rPr>
          <w:rFonts w:asciiTheme="majorHAnsi" w:hAnsiTheme="majorHAnsi" w:cstheme="majorHAnsi"/>
          <w:i/>
          <w:iCs/>
          <w:sz w:val="24"/>
          <w:szCs w:val="24"/>
          <w:lang w:val="ro-MD"/>
        </w:rPr>
        <w:t xml:space="preserve"> </w:t>
      </w:r>
      <w:r w:rsidR="000B1A2E" w:rsidRPr="00921938">
        <w:rPr>
          <w:rFonts w:asciiTheme="majorHAnsi" w:hAnsiTheme="majorHAnsi" w:cstheme="majorHAnsi"/>
          <w:i/>
          <w:iCs/>
          <w:sz w:val="24"/>
          <w:szCs w:val="24"/>
          <w:lang w:val="ro-MD"/>
        </w:rPr>
        <w:t xml:space="preserve">diminuarea contului 419 „Alte creanțe ale instituțiilor bugetare” cu </w:t>
      </w:r>
      <w:r w:rsidR="004173F1" w:rsidRPr="00E95C53">
        <w:rPr>
          <w:rFonts w:asciiTheme="majorHAnsi" w:hAnsiTheme="majorHAnsi" w:cstheme="majorHAnsi"/>
          <w:b/>
          <w:i/>
          <w:iCs/>
          <w:sz w:val="24"/>
          <w:szCs w:val="24"/>
          <w:lang w:val="ro-MD"/>
        </w:rPr>
        <w:t>23,24</w:t>
      </w:r>
      <w:r w:rsidR="000B1A2E" w:rsidRPr="00E95C53">
        <w:rPr>
          <w:rFonts w:asciiTheme="majorHAnsi" w:hAnsiTheme="majorHAnsi" w:cstheme="majorHAnsi"/>
          <w:b/>
          <w:i/>
          <w:iCs/>
          <w:sz w:val="24"/>
          <w:szCs w:val="24"/>
          <w:lang w:val="ro-MD"/>
        </w:rPr>
        <w:t xml:space="preserve"> mil.lei</w:t>
      </w:r>
      <w:r w:rsidR="000B1A2E" w:rsidRPr="00921938">
        <w:rPr>
          <w:rFonts w:asciiTheme="majorHAnsi" w:hAnsiTheme="majorHAnsi" w:cstheme="majorHAnsi"/>
          <w:i/>
          <w:iCs/>
          <w:sz w:val="24"/>
          <w:szCs w:val="24"/>
          <w:lang w:val="ro-MD"/>
        </w:rPr>
        <w:t xml:space="preserve">, </w:t>
      </w:r>
      <w:r w:rsidR="004173F1" w:rsidRPr="00921938">
        <w:rPr>
          <w:rFonts w:asciiTheme="majorHAnsi" w:hAnsiTheme="majorHAnsi" w:cstheme="majorHAnsi"/>
          <w:i/>
          <w:iCs/>
          <w:sz w:val="24"/>
          <w:szCs w:val="24"/>
          <w:lang w:val="ro-MD"/>
        </w:rPr>
        <w:t>determinată de:</w:t>
      </w:r>
    </w:p>
    <w:p w14:paraId="62AF2E7E" w14:textId="69E7C7F4" w:rsidR="00A84AFD" w:rsidRPr="00921938" w:rsidRDefault="004173F1" w:rsidP="00325F1F">
      <w:pPr>
        <w:pStyle w:val="ListParagraph"/>
        <w:spacing w:line="276" w:lineRule="auto"/>
        <w:ind w:left="0"/>
        <w:rPr>
          <w:rFonts w:asciiTheme="majorHAnsi" w:hAnsiTheme="majorHAnsi" w:cstheme="majorHAnsi"/>
          <w:i/>
          <w:iCs/>
          <w:sz w:val="24"/>
          <w:szCs w:val="24"/>
          <w:lang w:val="ro-MD"/>
        </w:rPr>
      </w:pPr>
      <w:r w:rsidRPr="00921938">
        <w:rPr>
          <w:rFonts w:asciiTheme="majorHAnsi" w:hAnsiTheme="majorHAnsi" w:cstheme="majorHAnsi"/>
          <w:i/>
          <w:iCs/>
          <w:sz w:val="24"/>
          <w:szCs w:val="24"/>
          <w:lang w:val="ro-MD"/>
        </w:rPr>
        <w:t xml:space="preserve">- </w:t>
      </w:r>
      <w:r w:rsidR="00506064">
        <w:rPr>
          <w:rFonts w:asciiTheme="majorHAnsi" w:hAnsiTheme="majorHAnsi" w:cstheme="majorHAnsi"/>
          <w:i/>
          <w:iCs/>
          <w:sz w:val="24"/>
          <w:szCs w:val="24"/>
          <w:lang w:val="ro-MD"/>
        </w:rPr>
        <w:t>reducerea</w:t>
      </w:r>
      <w:r w:rsidR="00506064" w:rsidRPr="00921938">
        <w:rPr>
          <w:rFonts w:asciiTheme="majorHAnsi" w:hAnsiTheme="majorHAnsi" w:cstheme="majorHAnsi"/>
          <w:i/>
          <w:iCs/>
          <w:sz w:val="24"/>
          <w:szCs w:val="24"/>
          <w:lang w:val="ro-MD"/>
        </w:rPr>
        <w:t xml:space="preserve"> </w:t>
      </w:r>
      <w:r w:rsidR="00A84AFD" w:rsidRPr="00921938">
        <w:rPr>
          <w:rFonts w:asciiTheme="majorHAnsi" w:hAnsiTheme="majorHAnsi" w:cstheme="majorHAnsi"/>
          <w:i/>
          <w:iCs/>
          <w:sz w:val="24"/>
          <w:szCs w:val="24"/>
          <w:lang w:val="ro-MD"/>
        </w:rPr>
        <w:t xml:space="preserve">cu </w:t>
      </w:r>
      <w:r w:rsidR="00460218" w:rsidRPr="00921938">
        <w:rPr>
          <w:rFonts w:asciiTheme="majorHAnsi" w:hAnsiTheme="majorHAnsi" w:cstheme="majorHAnsi"/>
          <w:i/>
          <w:iCs/>
          <w:sz w:val="24"/>
          <w:szCs w:val="24"/>
          <w:lang w:val="ro-MD"/>
        </w:rPr>
        <w:t>30,59</w:t>
      </w:r>
      <w:r w:rsidR="00A84AFD" w:rsidRPr="00921938">
        <w:rPr>
          <w:rFonts w:asciiTheme="majorHAnsi" w:hAnsiTheme="majorHAnsi" w:cstheme="majorHAnsi"/>
          <w:i/>
          <w:iCs/>
          <w:sz w:val="24"/>
          <w:szCs w:val="24"/>
          <w:lang w:val="ro-MD"/>
        </w:rPr>
        <w:t xml:space="preserve"> mil.lei, ca urmare: </w:t>
      </w:r>
      <w:r w:rsidR="00460218" w:rsidRPr="00921938">
        <w:rPr>
          <w:rFonts w:asciiTheme="majorHAnsi" w:hAnsiTheme="majorHAnsi" w:cstheme="majorHAnsi"/>
          <w:i/>
          <w:iCs/>
          <w:sz w:val="24"/>
          <w:szCs w:val="24"/>
          <w:lang w:val="ro-MD"/>
        </w:rPr>
        <w:t>a</w:t>
      </w:r>
      <w:r w:rsidR="00460218" w:rsidRPr="00921938">
        <w:rPr>
          <w:rFonts w:asciiTheme="majorHAnsi" w:hAnsiTheme="majorHAnsi" w:cstheme="majorHAnsi"/>
          <w:i/>
          <w:sz w:val="24"/>
          <w:szCs w:val="24"/>
          <w:lang w:val="ro-MD"/>
        </w:rPr>
        <w:t xml:space="preserve"> </w:t>
      </w:r>
      <w:r w:rsidR="00A84AFD" w:rsidRPr="00921938">
        <w:rPr>
          <w:rFonts w:asciiTheme="majorHAnsi" w:hAnsiTheme="majorHAnsi" w:cstheme="majorHAnsi"/>
          <w:i/>
          <w:sz w:val="24"/>
          <w:szCs w:val="24"/>
          <w:lang w:val="ro-MD"/>
        </w:rPr>
        <w:t>raportării neregulamentare</w:t>
      </w:r>
      <w:r w:rsidR="00A84AFD" w:rsidRPr="001254DB">
        <w:rPr>
          <w:i/>
          <w:sz w:val="24"/>
          <w:szCs w:val="24"/>
          <w:vertAlign w:val="superscript"/>
          <w:lang w:val="ro-MD"/>
        </w:rPr>
        <w:footnoteReference w:id="11"/>
      </w:r>
      <w:r w:rsidR="00A84AFD" w:rsidRPr="00C33312">
        <w:rPr>
          <w:rFonts w:asciiTheme="majorHAnsi" w:hAnsiTheme="majorHAnsi" w:cstheme="majorHAnsi"/>
          <w:i/>
          <w:sz w:val="24"/>
          <w:szCs w:val="24"/>
          <w:lang w:val="ro-MD"/>
        </w:rPr>
        <w:t xml:space="preserve"> </w:t>
      </w:r>
      <w:r w:rsidR="001254DB" w:rsidRPr="00921938">
        <w:rPr>
          <w:rFonts w:asciiTheme="majorHAnsi" w:hAnsiTheme="majorHAnsi" w:cstheme="majorHAnsi"/>
          <w:i/>
          <w:sz w:val="24"/>
          <w:szCs w:val="24"/>
          <w:lang w:val="ro-MD"/>
        </w:rPr>
        <w:t xml:space="preserve">ca cheltuieli </w:t>
      </w:r>
      <w:r w:rsidR="004C0C6C" w:rsidRPr="00921938">
        <w:rPr>
          <w:rFonts w:asciiTheme="majorHAnsi" w:hAnsiTheme="majorHAnsi" w:cstheme="majorHAnsi"/>
          <w:i/>
          <w:sz w:val="24"/>
          <w:szCs w:val="24"/>
          <w:lang w:val="ro-MD"/>
        </w:rPr>
        <w:t xml:space="preserve">de către instituțiile de învățământ la autogestiune, </w:t>
      </w:r>
      <w:r w:rsidR="00091AD9" w:rsidRPr="00921938">
        <w:rPr>
          <w:rFonts w:asciiTheme="majorHAnsi" w:hAnsiTheme="majorHAnsi" w:cstheme="majorHAnsi"/>
          <w:i/>
          <w:sz w:val="24"/>
          <w:szCs w:val="24"/>
          <w:lang w:val="ro-MD"/>
        </w:rPr>
        <w:t>a</w:t>
      </w:r>
      <w:r w:rsidR="00C33312">
        <w:rPr>
          <w:rFonts w:asciiTheme="majorHAnsi" w:hAnsiTheme="majorHAnsi" w:cstheme="majorHAnsi"/>
          <w:i/>
          <w:sz w:val="24"/>
          <w:szCs w:val="24"/>
          <w:lang w:val="ro-MD"/>
        </w:rPr>
        <w:t>le</w:t>
      </w:r>
      <w:r w:rsidR="00091AD9" w:rsidRPr="00921938">
        <w:rPr>
          <w:rFonts w:asciiTheme="majorHAnsi" w:hAnsiTheme="majorHAnsi" w:cstheme="majorHAnsi"/>
          <w:i/>
          <w:sz w:val="24"/>
          <w:szCs w:val="24"/>
          <w:lang w:val="ro-MD"/>
        </w:rPr>
        <w:t xml:space="preserve"> mijloacelor nevalorificate până la 31 decembrie 2019 </w:t>
      </w:r>
      <w:r w:rsidR="00636E34" w:rsidRPr="00921938">
        <w:rPr>
          <w:rFonts w:asciiTheme="majorHAnsi" w:hAnsiTheme="majorHAnsi" w:cstheme="majorHAnsi"/>
          <w:i/>
          <w:sz w:val="24"/>
          <w:szCs w:val="24"/>
          <w:lang w:val="ro-MD"/>
        </w:rPr>
        <w:t>aferente serviciilor educaționale</w:t>
      </w:r>
      <w:r w:rsidR="00091AD9" w:rsidRPr="00921938">
        <w:rPr>
          <w:rFonts w:asciiTheme="majorHAnsi" w:hAnsiTheme="majorHAnsi" w:cstheme="majorHAnsi"/>
          <w:i/>
          <w:sz w:val="24"/>
          <w:szCs w:val="24"/>
          <w:lang w:val="ro-MD"/>
        </w:rPr>
        <w:t xml:space="preserve"> (</w:t>
      </w:r>
      <w:r w:rsidR="00636E34" w:rsidRPr="00921938">
        <w:rPr>
          <w:rFonts w:asciiTheme="majorHAnsi" w:hAnsiTheme="majorHAnsi" w:cstheme="majorHAnsi"/>
          <w:i/>
          <w:sz w:val="24"/>
          <w:szCs w:val="24"/>
          <w:lang w:val="ro-MD"/>
        </w:rPr>
        <w:t>27,2 mil.lei</w:t>
      </w:r>
      <w:r w:rsidR="00091AD9" w:rsidRPr="00921938">
        <w:rPr>
          <w:rFonts w:asciiTheme="majorHAnsi" w:hAnsiTheme="majorHAnsi" w:cstheme="majorHAnsi"/>
          <w:i/>
          <w:sz w:val="24"/>
          <w:szCs w:val="24"/>
          <w:lang w:val="ro-MD"/>
        </w:rPr>
        <w:t xml:space="preserve">), </w:t>
      </w:r>
      <w:r w:rsidR="00506064">
        <w:rPr>
          <w:rFonts w:asciiTheme="majorHAnsi" w:hAnsiTheme="majorHAnsi" w:cstheme="majorHAnsi"/>
          <w:i/>
          <w:sz w:val="24"/>
          <w:szCs w:val="24"/>
          <w:lang w:val="ro-MD"/>
        </w:rPr>
        <w:t xml:space="preserve">a </w:t>
      </w:r>
      <w:r w:rsidR="00091AD9" w:rsidRPr="00921938">
        <w:rPr>
          <w:rFonts w:asciiTheme="majorHAnsi" w:hAnsiTheme="majorHAnsi" w:cstheme="majorHAnsi"/>
          <w:i/>
          <w:iCs/>
          <w:sz w:val="24"/>
          <w:szCs w:val="24"/>
          <w:lang w:val="ro-MD"/>
        </w:rPr>
        <w:t>indemnizațiilor de asistență socială din anul 2019 (122,9 mii lei) și din anul 2018 (63,1 mii lei),</w:t>
      </w:r>
      <w:r w:rsidR="00414134">
        <w:rPr>
          <w:rFonts w:asciiTheme="majorHAnsi" w:hAnsiTheme="majorHAnsi" w:cstheme="majorHAnsi"/>
          <w:i/>
          <w:iCs/>
          <w:sz w:val="24"/>
          <w:szCs w:val="24"/>
          <w:lang w:val="ro-MD"/>
        </w:rPr>
        <w:t xml:space="preserve"> </w:t>
      </w:r>
      <w:r w:rsidR="00091AD9" w:rsidRPr="00921938">
        <w:rPr>
          <w:rFonts w:asciiTheme="majorHAnsi" w:hAnsiTheme="majorHAnsi" w:cstheme="majorHAnsi"/>
          <w:i/>
          <w:iCs/>
          <w:sz w:val="24"/>
          <w:szCs w:val="24"/>
          <w:lang w:val="ro-MD"/>
        </w:rPr>
        <w:t>burselor acordate sportiv</w:t>
      </w:r>
      <w:r w:rsidR="00506064">
        <w:rPr>
          <w:rFonts w:asciiTheme="majorHAnsi" w:hAnsiTheme="majorHAnsi" w:cstheme="majorHAnsi"/>
          <w:i/>
          <w:iCs/>
          <w:sz w:val="24"/>
          <w:szCs w:val="24"/>
          <w:lang w:val="ro-MD"/>
        </w:rPr>
        <w:t>i</w:t>
      </w:r>
      <w:r w:rsidR="00091AD9" w:rsidRPr="00921938">
        <w:rPr>
          <w:rFonts w:asciiTheme="majorHAnsi" w:hAnsiTheme="majorHAnsi" w:cstheme="majorHAnsi"/>
          <w:i/>
          <w:iCs/>
          <w:sz w:val="24"/>
          <w:szCs w:val="24"/>
          <w:lang w:val="ro-MD"/>
        </w:rPr>
        <w:t>lor de performanță</w:t>
      </w:r>
      <w:r w:rsidR="00091AD9" w:rsidRPr="00921938">
        <w:rPr>
          <w:rFonts w:asciiTheme="majorHAnsi" w:hAnsiTheme="majorHAnsi" w:cstheme="majorHAnsi"/>
          <w:i/>
          <w:sz w:val="24"/>
          <w:szCs w:val="24"/>
          <w:lang w:val="ro-MD"/>
        </w:rPr>
        <w:t xml:space="preserve"> (</w:t>
      </w:r>
      <w:r w:rsidR="00091AD9" w:rsidRPr="00921938">
        <w:rPr>
          <w:rFonts w:asciiTheme="majorHAnsi" w:hAnsiTheme="majorHAnsi" w:cstheme="majorHAnsi"/>
          <w:i/>
          <w:iCs/>
          <w:sz w:val="24"/>
          <w:szCs w:val="24"/>
          <w:lang w:val="ro-MD"/>
        </w:rPr>
        <w:t xml:space="preserve">57,5 mii lei), precum și ca urmare </w:t>
      </w:r>
      <w:r w:rsidR="004C0C6C" w:rsidRPr="00921938">
        <w:rPr>
          <w:rFonts w:asciiTheme="majorHAnsi" w:hAnsiTheme="majorHAnsi" w:cstheme="majorHAnsi"/>
          <w:i/>
          <w:sz w:val="24"/>
          <w:szCs w:val="24"/>
          <w:lang w:val="ro-MD"/>
        </w:rPr>
        <w:t xml:space="preserve">a </w:t>
      </w:r>
      <w:r w:rsidR="004C0C6C" w:rsidRPr="00921938">
        <w:rPr>
          <w:rFonts w:asciiTheme="majorHAnsi" w:hAnsiTheme="majorHAnsi" w:cstheme="majorHAnsi"/>
          <w:i/>
          <w:iCs/>
          <w:sz w:val="24"/>
          <w:szCs w:val="24"/>
          <w:lang w:val="ro-MD"/>
        </w:rPr>
        <w:t xml:space="preserve">neexecutării lucrărilor de construcție facturate (3,15 mil.lei); </w:t>
      </w:r>
    </w:p>
    <w:p w14:paraId="0E7B73BD" w14:textId="5F4682F0" w:rsidR="004173F1" w:rsidRPr="00B24E5D" w:rsidRDefault="004173F1" w:rsidP="00325F1F">
      <w:pPr>
        <w:pStyle w:val="ListParagraph"/>
        <w:spacing w:line="276" w:lineRule="auto"/>
        <w:ind w:left="0"/>
        <w:rPr>
          <w:rFonts w:asciiTheme="majorHAnsi" w:hAnsiTheme="majorHAnsi" w:cstheme="majorHAnsi"/>
          <w:i/>
          <w:sz w:val="24"/>
          <w:szCs w:val="24"/>
          <w:lang w:val="ro-MD"/>
        </w:rPr>
      </w:pPr>
      <w:r w:rsidRPr="00921938">
        <w:rPr>
          <w:rFonts w:asciiTheme="majorHAnsi" w:hAnsiTheme="majorHAnsi" w:cstheme="majorHAnsi"/>
          <w:i/>
          <w:iCs/>
          <w:sz w:val="24"/>
          <w:szCs w:val="24"/>
          <w:lang w:val="ro-MD"/>
        </w:rPr>
        <w:t>- major</w:t>
      </w:r>
      <w:r w:rsidR="00AD2390">
        <w:rPr>
          <w:rFonts w:asciiTheme="majorHAnsi" w:hAnsiTheme="majorHAnsi" w:cstheme="majorHAnsi"/>
          <w:i/>
          <w:iCs/>
          <w:sz w:val="24"/>
          <w:szCs w:val="24"/>
          <w:lang w:val="ro-MD"/>
        </w:rPr>
        <w:t>area</w:t>
      </w:r>
      <w:r w:rsidRPr="00921938">
        <w:rPr>
          <w:rFonts w:asciiTheme="majorHAnsi" w:hAnsiTheme="majorHAnsi" w:cstheme="majorHAnsi"/>
          <w:i/>
          <w:iCs/>
          <w:sz w:val="24"/>
          <w:szCs w:val="24"/>
          <w:lang w:val="ro-MD"/>
        </w:rPr>
        <w:t xml:space="preserve"> </w:t>
      </w:r>
      <w:r w:rsidRPr="00B24E5D">
        <w:rPr>
          <w:rFonts w:asciiTheme="majorHAnsi" w:hAnsiTheme="majorHAnsi" w:cstheme="majorHAnsi"/>
          <w:i/>
          <w:iCs/>
          <w:sz w:val="24"/>
          <w:szCs w:val="24"/>
          <w:lang w:val="ro-MD"/>
        </w:rPr>
        <w:t>cu 7,35 mil.lei</w:t>
      </w:r>
      <w:r w:rsidRPr="005C1794">
        <w:rPr>
          <w:rFonts w:asciiTheme="majorHAnsi" w:hAnsiTheme="majorHAnsi" w:cstheme="majorHAnsi"/>
          <w:i/>
          <w:iCs/>
          <w:sz w:val="24"/>
          <w:szCs w:val="24"/>
          <w:lang w:val="ro-MD"/>
        </w:rPr>
        <w:t xml:space="preserve"> ca urmare </w:t>
      </w:r>
      <w:r w:rsidRPr="005C1794">
        <w:rPr>
          <w:rFonts w:ascii="Calibri Light" w:hAnsi="Calibri Light" w:cs="Calibri Light"/>
          <w:i/>
          <w:iCs/>
          <w:sz w:val="24"/>
          <w:szCs w:val="24"/>
          <w:lang w:val="ro-MD"/>
        </w:rPr>
        <w:t xml:space="preserve">a </w:t>
      </w:r>
      <w:r w:rsidR="00E3053A" w:rsidRPr="005C1794">
        <w:rPr>
          <w:rFonts w:ascii="Calibri Light" w:hAnsi="Calibri Light" w:cs="Calibri Light"/>
          <w:i/>
          <w:iCs/>
          <w:sz w:val="24"/>
          <w:szCs w:val="24"/>
          <w:lang w:val="ro-MD"/>
        </w:rPr>
        <w:t>neraportării</w:t>
      </w:r>
      <w:r w:rsidRPr="00B24E5D">
        <w:rPr>
          <w:rFonts w:ascii="Calibri Light" w:hAnsi="Calibri Light" w:cs="Calibri Light"/>
          <w:i/>
          <w:iCs/>
          <w:sz w:val="24"/>
          <w:szCs w:val="24"/>
          <w:lang w:val="ro-MD"/>
        </w:rPr>
        <w:t xml:space="preserve"> investițiilor efectuate </w:t>
      </w:r>
      <w:r w:rsidR="00E3053A" w:rsidRPr="00E95C53">
        <w:rPr>
          <w:rFonts w:asciiTheme="majorHAnsi" w:hAnsiTheme="majorHAnsi" w:cstheme="majorHAnsi"/>
          <w:i/>
          <w:sz w:val="24"/>
          <w:szCs w:val="24"/>
          <w:lang w:val="ro-MD"/>
        </w:rPr>
        <w:t>din granturile anului 2019</w:t>
      </w:r>
      <w:r w:rsidR="00414134">
        <w:rPr>
          <w:rFonts w:asciiTheme="majorHAnsi" w:hAnsiTheme="majorHAnsi" w:cstheme="majorHAnsi"/>
          <w:i/>
          <w:sz w:val="24"/>
          <w:szCs w:val="24"/>
          <w:lang w:val="ro-MD"/>
        </w:rPr>
        <w:t xml:space="preserve"> </w:t>
      </w:r>
      <w:r w:rsidR="00E3053A" w:rsidRPr="00E95C53">
        <w:rPr>
          <w:rFonts w:asciiTheme="majorHAnsi" w:hAnsiTheme="majorHAnsi" w:cstheme="majorHAnsi"/>
          <w:i/>
          <w:sz w:val="24"/>
          <w:szCs w:val="24"/>
          <w:lang w:val="ro-MD"/>
        </w:rPr>
        <w:t xml:space="preserve">în bunuri </w:t>
      </w:r>
      <w:r w:rsidRPr="00E95C53">
        <w:rPr>
          <w:rFonts w:asciiTheme="majorHAnsi" w:hAnsiTheme="majorHAnsi" w:cstheme="majorHAnsi"/>
          <w:i/>
          <w:sz w:val="24"/>
          <w:szCs w:val="24"/>
          <w:lang w:val="ro-MD"/>
        </w:rPr>
        <w:t>(6,56 mil.lei)</w:t>
      </w:r>
      <w:r w:rsidR="00E3053A" w:rsidRPr="00E95C53">
        <w:rPr>
          <w:rFonts w:asciiTheme="majorHAnsi" w:hAnsiTheme="majorHAnsi" w:cstheme="majorHAnsi"/>
          <w:i/>
          <w:sz w:val="24"/>
          <w:szCs w:val="24"/>
          <w:lang w:val="ro-MD"/>
        </w:rPr>
        <w:t xml:space="preserve"> și clădiri (0,79 mil.lei)</w:t>
      </w:r>
      <w:r w:rsidRPr="00E95C53">
        <w:rPr>
          <w:rFonts w:asciiTheme="majorHAnsi" w:hAnsiTheme="majorHAnsi" w:cstheme="majorHAnsi"/>
          <w:i/>
          <w:sz w:val="24"/>
          <w:szCs w:val="24"/>
          <w:lang w:val="ro-MD"/>
        </w:rPr>
        <w:t xml:space="preserve">; </w:t>
      </w:r>
    </w:p>
    <w:p w14:paraId="4F1B250B" w14:textId="17258633" w:rsidR="006C4F60" w:rsidRPr="00B24E5D" w:rsidRDefault="006C4F60" w:rsidP="00325F1F">
      <w:pPr>
        <w:pStyle w:val="ListParagraph"/>
        <w:spacing w:line="276" w:lineRule="auto"/>
        <w:ind w:left="0"/>
        <w:rPr>
          <w:rFonts w:asciiTheme="majorHAnsi" w:hAnsiTheme="majorHAnsi" w:cstheme="majorHAnsi"/>
          <w:i/>
          <w:sz w:val="24"/>
          <w:szCs w:val="24"/>
          <w:lang w:val="ro-MD"/>
        </w:rPr>
      </w:pPr>
      <w:r w:rsidRPr="00B24E5D">
        <w:rPr>
          <w:rFonts w:asciiTheme="majorHAnsi" w:hAnsiTheme="majorHAnsi" w:cstheme="majorHAnsi"/>
          <w:b/>
          <w:i/>
          <w:sz w:val="24"/>
          <w:szCs w:val="24"/>
          <w:lang w:val="ro-MD"/>
        </w:rPr>
        <w:t>2.10.</w:t>
      </w:r>
      <w:r w:rsidRPr="00B24E5D">
        <w:rPr>
          <w:rFonts w:asciiTheme="majorHAnsi" w:hAnsiTheme="majorHAnsi" w:cstheme="majorHAnsi"/>
          <w:i/>
          <w:sz w:val="24"/>
          <w:szCs w:val="24"/>
          <w:lang w:val="ro-MD"/>
        </w:rPr>
        <w:t xml:space="preserve"> </w:t>
      </w:r>
      <w:r w:rsidR="00AD2390">
        <w:rPr>
          <w:rFonts w:asciiTheme="majorHAnsi" w:hAnsiTheme="majorHAnsi" w:cstheme="majorHAnsi"/>
          <w:i/>
          <w:sz w:val="24"/>
          <w:szCs w:val="24"/>
          <w:lang w:val="ro-MD"/>
        </w:rPr>
        <w:t>d</w:t>
      </w:r>
      <w:r w:rsidRPr="00B24E5D">
        <w:rPr>
          <w:rFonts w:asciiTheme="majorHAnsi" w:hAnsiTheme="majorHAnsi" w:cstheme="majorHAnsi"/>
          <w:i/>
          <w:sz w:val="24"/>
          <w:szCs w:val="24"/>
          <w:lang w:val="ro-MD"/>
        </w:rPr>
        <w:t>iminuarea contului „Rezultat al instituției publice din anul curent</w:t>
      </w:r>
      <w:r w:rsidR="00AD2390">
        <w:rPr>
          <w:rFonts w:asciiTheme="majorHAnsi" w:hAnsiTheme="majorHAnsi" w:cstheme="majorHAnsi"/>
          <w:i/>
          <w:sz w:val="24"/>
          <w:szCs w:val="24"/>
          <w:lang w:val="ro-MD"/>
        </w:rPr>
        <w:t>”</w:t>
      </w:r>
      <w:r w:rsidRPr="00B24E5D">
        <w:rPr>
          <w:rFonts w:asciiTheme="majorHAnsi" w:hAnsiTheme="majorHAnsi" w:cstheme="majorHAnsi"/>
          <w:i/>
          <w:sz w:val="24"/>
          <w:szCs w:val="24"/>
          <w:lang w:val="ro-MD"/>
        </w:rPr>
        <w:t xml:space="preserve"> cu </w:t>
      </w:r>
      <w:r w:rsidRPr="00B24E5D">
        <w:rPr>
          <w:rFonts w:asciiTheme="majorHAnsi" w:hAnsiTheme="majorHAnsi" w:cstheme="majorHAnsi"/>
          <w:b/>
          <w:i/>
          <w:sz w:val="24"/>
          <w:szCs w:val="24"/>
          <w:lang w:val="ro-MD"/>
        </w:rPr>
        <w:t>103,81 mil.lei</w:t>
      </w:r>
      <w:r w:rsidRPr="00B24E5D">
        <w:rPr>
          <w:rFonts w:asciiTheme="majorHAnsi" w:hAnsiTheme="majorHAnsi" w:cstheme="majorHAnsi"/>
          <w:i/>
          <w:sz w:val="24"/>
          <w:szCs w:val="24"/>
          <w:lang w:val="ro-MD"/>
        </w:rPr>
        <w:t xml:space="preserve">, ca urmare a </w:t>
      </w:r>
      <w:r w:rsidR="00506064">
        <w:rPr>
          <w:rFonts w:asciiTheme="majorHAnsi" w:hAnsiTheme="majorHAnsi" w:cstheme="majorHAnsi"/>
          <w:i/>
          <w:sz w:val="24"/>
          <w:szCs w:val="24"/>
          <w:lang w:val="ro-MD"/>
        </w:rPr>
        <w:t>reducerii</w:t>
      </w:r>
      <w:r w:rsidR="00506064" w:rsidRPr="00B24E5D">
        <w:rPr>
          <w:rFonts w:asciiTheme="majorHAnsi" w:hAnsiTheme="majorHAnsi" w:cstheme="majorHAnsi"/>
          <w:i/>
          <w:sz w:val="24"/>
          <w:szCs w:val="24"/>
          <w:lang w:val="ro-MD"/>
        </w:rPr>
        <w:t xml:space="preserve"> </w:t>
      </w:r>
      <w:r w:rsidR="00921938" w:rsidRPr="00B24E5D">
        <w:rPr>
          <w:rFonts w:asciiTheme="majorHAnsi" w:hAnsiTheme="majorHAnsi" w:cstheme="majorHAnsi"/>
          <w:i/>
          <w:sz w:val="24"/>
          <w:szCs w:val="24"/>
          <w:lang w:val="ro-MD"/>
        </w:rPr>
        <w:t>„Veniturilor de la active intrate cu titlu gratuit”</w:t>
      </w:r>
      <w:r w:rsidRPr="00B24E5D">
        <w:rPr>
          <w:rFonts w:asciiTheme="majorHAnsi" w:hAnsiTheme="majorHAnsi" w:cstheme="majorHAnsi"/>
          <w:i/>
          <w:sz w:val="24"/>
          <w:szCs w:val="24"/>
          <w:lang w:val="ro-MD"/>
        </w:rPr>
        <w:t xml:space="preserve"> cu 0,74 mil.lei și majorării cheltuielilor cu 103,07 mil lei</w:t>
      </w:r>
      <w:r w:rsidRPr="00B24E5D">
        <w:rPr>
          <w:rStyle w:val="FootnoteReference"/>
          <w:rFonts w:asciiTheme="majorHAnsi" w:hAnsiTheme="majorHAnsi" w:cstheme="majorHAnsi"/>
          <w:i/>
          <w:sz w:val="24"/>
          <w:szCs w:val="24"/>
          <w:lang w:val="ro-MD"/>
        </w:rPr>
        <w:footnoteReference w:id="12"/>
      </w:r>
      <w:r w:rsidR="00506064">
        <w:rPr>
          <w:rFonts w:asciiTheme="majorHAnsi" w:hAnsiTheme="majorHAnsi" w:cstheme="majorHAnsi"/>
          <w:i/>
          <w:sz w:val="24"/>
          <w:szCs w:val="24"/>
          <w:lang w:val="ro-MD"/>
        </w:rPr>
        <w:t>;</w:t>
      </w:r>
    </w:p>
    <w:p w14:paraId="09F89F35" w14:textId="62A7BE41" w:rsidR="003B4C55" w:rsidRPr="00B24E5D" w:rsidRDefault="003B4C55" w:rsidP="00325F1F">
      <w:pPr>
        <w:pStyle w:val="ListParagraph"/>
        <w:spacing w:line="276" w:lineRule="auto"/>
        <w:ind w:left="0"/>
        <w:rPr>
          <w:rFonts w:asciiTheme="majorHAnsi" w:hAnsiTheme="majorHAnsi" w:cstheme="majorHAnsi"/>
          <w:i/>
          <w:sz w:val="24"/>
          <w:szCs w:val="24"/>
          <w:lang w:val="ro-MD"/>
        </w:rPr>
      </w:pPr>
      <w:r w:rsidRPr="00B24E5D">
        <w:rPr>
          <w:rFonts w:asciiTheme="majorHAnsi" w:hAnsiTheme="majorHAnsi" w:cstheme="majorHAnsi"/>
          <w:b/>
          <w:i/>
          <w:sz w:val="24"/>
          <w:szCs w:val="24"/>
          <w:lang w:val="ro-MD"/>
        </w:rPr>
        <w:t>2.1</w:t>
      </w:r>
      <w:r w:rsidR="006C4F60" w:rsidRPr="00B24E5D">
        <w:rPr>
          <w:rFonts w:asciiTheme="majorHAnsi" w:hAnsiTheme="majorHAnsi" w:cstheme="majorHAnsi"/>
          <w:b/>
          <w:i/>
          <w:sz w:val="24"/>
          <w:szCs w:val="24"/>
          <w:lang w:val="ro-MD"/>
        </w:rPr>
        <w:t>1</w:t>
      </w:r>
      <w:r w:rsidRPr="00B24E5D">
        <w:rPr>
          <w:rFonts w:asciiTheme="majorHAnsi" w:hAnsiTheme="majorHAnsi" w:cstheme="majorHAnsi"/>
          <w:b/>
          <w:i/>
          <w:sz w:val="24"/>
          <w:szCs w:val="24"/>
          <w:lang w:val="ro-MD"/>
        </w:rPr>
        <w:t>.</w:t>
      </w:r>
      <w:r w:rsidRPr="00B24E5D">
        <w:rPr>
          <w:rFonts w:asciiTheme="majorHAnsi" w:hAnsiTheme="majorHAnsi" w:cstheme="majorHAnsi"/>
          <w:i/>
          <w:sz w:val="24"/>
          <w:szCs w:val="24"/>
          <w:lang w:val="ro-MD"/>
        </w:rPr>
        <w:t xml:space="preserve"> </w:t>
      </w:r>
      <w:r w:rsidR="00AD2390">
        <w:rPr>
          <w:rFonts w:asciiTheme="majorHAnsi" w:hAnsiTheme="majorHAnsi" w:cstheme="majorHAnsi"/>
          <w:i/>
          <w:sz w:val="24"/>
          <w:szCs w:val="24"/>
          <w:lang w:val="ro-MD"/>
        </w:rPr>
        <w:t>d</w:t>
      </w:r>
      <w:r w:rsidRPr="00B24E5D">
        <w:rPr>
          <w:rFonts w:asciiTheme="majorHAnsi" w:hAnsiTheme="majorHAnsi" w:cstheme="majorHAnsi"/>
          <w:i/>
          <w:sz w:val="24"/>
          <w:szCs w:val="24"/>
          <w:lang w:val="ro-MD"/>
        </w:rPr>
        <w:t xml:space="preserve">iminuarea </w:t>
      </w:r>
      <w:r w:rsidR="008D7B85" w:rsidRPr="00B24E5D">
        <w:rPr>
          <w:rFonts w:asciiTheme="majorHAnsi" w:hAnsiTheme="majorHAnsi" w:cstheme="majorHAnsi"/>
          <w:i/>
          <w:sz w:val="24"/>
          <w:szCs w:val="24"/>
          <w:lang w:val="ro-MD"/>
        </w:rPr>
        <w:t>contului „Rezultat al instituției publice di</w:t>
      </w:r>
      <w:r w:rsidR="00182817" w:rsidRPr="00B24E5D">
        <w:rPr>
          <w:rFonts w:asciiTheme="majorHAnsi" w:hAnsiTheme="majorHAnsi" w:cstheme="majorHAnsi"/>
          <w:i/>
          <w:sz w:val="24"/>
          <w:szCs w:val="24"/>
          <w:lang w:val="ro-MD"/>
        </w:rPr>
        <w:t>n anul precedent</w:t>
      </w:r>
      <w:r w:rsidR="00AD2390">
        <w:rPr>
          <w:rFonts w:asciiTheme="majorHAnsi" w:hAnsiTheme="majorHAnsi" w:cstheme="majorHAnsi"/>
          <w:i/>
          <w:sz w:val="24"/>
          <w:szCs w:val="24"/>
          <w:lang w:val="ro-MD"/>
        </w:rPr>
        <w:t>”</w:t>
      </w:r>
      <w:r w:rsidR="00182817" w:rsidRPr="00B24E5D">
        <w:rPr>
          <w:rFonts w:asciiTheme="majorHAnsi" w:hAnsiTheme="majorHAnsi" w:cstheme="majorHAnsi"/>
          <w:i/>
          <w:sz w:val="24"/>
          <w:szCs w:val="24"/>
          <w:lang w:val="ro-MD"/>
        </w:rPr>
        <w:t xml:space="preserve"> cu </w:t>
      </w:r>
      <w:r w:rsidR="00182817" w:rsidRPr="00B24E5D">
        <w:rPr>
          <w:rFonts w:asciiTheme="majorHAnsi" w:hAnsiTheme="majorHAnsi" w:cstheme="majorHAnsi"/>
          <w:b/>
          <w:i/>
          <w:sz w:val="24"/>
          <w:szCs w:val="24"/>
          <w:lang w:val="ro-MD"/>
        </w:rPr>
        <w:t>4230,05 mil.lei</w:t>
      </w:r>
      <w:r w:rsidR="00182817" w:rsidRPr="00B24E5D">
        <w:rPr>
          <w:rFonts w:asciiTheme="majorHAnsi" w:hAnsiTheme="majorHAnsi" w:cstheme="majorHAnsi"/>
          <w:i/>
          <w:sz w:val="24"/>
          <w:szCs w:val="24"/>
          <w:lang w:val="ro-MD"/>
        </w:rPr>
        <w:t>, ca urmare a deficiențelor indicate mai sus</w:t>
      </w:r>
      <w:r w:rsidR="00414134">
        <w:rPr>
          <w:rFonts w:asciiTheme="majorHAnsi" w:hAnsiTheme="majorHAnsi" w:cstheme="majorHAnsi"/>
          <w:i/>
          <w:sz w:val="24"/>
          <w:szCs w:val="24"/>
          <w:lang w:val="ro-MD"/>
        </w:rPr>
        <w:t>;</w:t>
      </w:r>
    </w:p>
    <w:p w14:paraId="38E5A650" w14:textId="5CD6AFE1" w:rsidR="00AC50E8" w:rsidRPr="00921938" w:rsidRDefault="006C4F60" w:rsidP="00325F1F">
      <w:pPr>
        <w:pStyle w:val="ListParagraph"/>
        <w:spacing w:line="276" w:lineRule="auto"/>
        <w:ind w:left="0"/>
        <w:rPr>
          <w:rFonts w:asciiTheme="majorHAnsi" w:hAnsiTheme="majorHAnsi" w:cstheme="majorHAnsi"/>
          <w:i/>
          <w:iCs/>
          <w:sz w:val="24"/>
          <w:szCs w:val="24"/>
          <w:lang w:val="ro-MD"/>
        </w:rPr>
      </w:pPr>
      <w:r w:rsidRPr="00B24E5D">
        <w:rPr>
          <w:rFonts w:asciiTheme="majorHAnsi" w:hAnsiTheme="majorHAnsi" w:cstheme="majorHAnsi"/>
          <w:b/>
          <w:i/>
          <w:iCs/>
          <w:sz w:val="24"/>
          <w:szCs w:val="24"/>
          <w:lang w:val="ro-MD"/>
        </w:rPr>
        <w:lastRenderedPageBreak/>
        <w:t>2.12.</w:t>
      </w:r>
      <w:r w:rsidRPr="00B24E5D">
        <w:rPr>
          <w:rFonts w:asciiTheme="majorHAnsi" w:hAnsiTheme="majorHAnsi" w:cstheme="majorHAnsi"/>
          <w:i/>
          <w:iCs/>
          <w:sz w:val="24"/>
          <w:szCs w:val="24"/>
          <w:lang w:val="ro-MD"/>
        </w:rPr>
        <w:t xml:space="preserve"> </w:t>
      </w:r>
      <w:r w:rsidR="00AD2390">
        <w:rPr>
          <w:rFonts w:asciiTheme="majorHAnsi" w:hAnsiTheme="majorHAnsi" w:cstheme="majorHAnsi"/>
          <w:i/>
          <w:iCs/>
          <w:sz w:val="24"/>
          <w:szCs w:val="24"/>
          <w:lang w:val="ro-MD"/>
        </w:rPr>
        <w:t>c</w:t>
      </w:r>
      <w:r w:rsidR="00AC50E8" w:rsidRPr="00B24E5D">
        <w:rPr>
          <w:rFonts w:asciiTheme="majorHAnsi" w:hAnsiTheme="majorHAnsi" w:cstheme="majorHAnsi"/>
          <w:i/>
          <w:iCs/>
          <w:sz w:val="24"/>
          <w:szCs w:val="24"/>
          <w:lang w:val="ro-MD"/>
        </w:rPr>
        <w:t xml:space="preserve">lasificarea neconformă a bunurilor în valoare de </w:t>
      </w:r>
      <w:r w:rsidR="00AC50E8" w:rsidRPr="00B24E5D">
        <w:rPr>
          <w:rFonts w:asciiTheme="majorHAnsi" w:hAnsiTheme="majorHAnsi" w:cstheme="majorHAnsi"/>
          <w:b/>
          <w:i/>
          <w:iCs/>
          <w:sz w:val="24"/>
          <w:szCs w:val="24"/>
          <w:lang w:val="ro-MD"/>
        </w:rPr>
        <w:t>2</w:t>
      </w:r>
      <w:r w:rsidR="008257E0" w:rsidRPr="00B24E5D">
        <w:rPr>
          <w:rFonts w:asciiTheme="majorHAnsi" w:hAnsiTheme="majorHAnsi" w:cstheme="majorHAnsi"/>
          <w:b/>
          <w:i/>
          <w:iCs/>
          <w:sz w:val="24"/>
          <w:szCs w:val="24"/>
          <w:lang w:val="ro-MD"/>
        </w:rPr>
        <w:t>5</w:t>
      </w:r>
      <w:r w:rsidR="00AC50E8" w:rsidRPr="00B24E5D">
        <w:rPr>
          <w:rFonts w:asciiTheme="majorHAnsi" w:hAnsiTheme="majorHAnsi" w:cstheme="majorHAnsi"/>
          <w:b/>
          <w:i/>
          <w:iCs/>
          <w:sz w:val="24"/>
          <w:szCs w:val="24"/>
          <w:lang w:val="ro-MD"/>
        </w:rPr>
        <w:t>,</w:t>
      </w:r>
      <w:r w:rsidR="00B77BFF" w:rsidRPr="00B24E5D">
        <w:rPr>
          <w:rFonts w:asciiTheme="majorHAnsi" w:hAnsiTheme="majorHAnsi" w:cstheme="majorHAnsi"/>
          <w:b/>
          <w:i/>
          <w:iCs/>
          <w:sz w:val="24"/>
          <w:szCs w:val="24"/>
          <w:lang w:val="ro-MD"/>
        </w:rPr>
        <w:t>4</w:t>
      </w:r>
      <w:r w:rsidR="00AC50E8" w:rsidRPr="00B24E5D">
        <w:rPr>
          <w:rFonts w:asciiTheme="majorHAnsi" w:hAnsiTheme="majorHAnsi" w:cstheme="majorHAnsi"/>
          <w:b/>
          <w:i/>
          <w:iCs/>
          <w:sz w:val="24"/>
          <w:szCs w:val="24"/>
          <w:lang w:val="ro-MD"/>
        </w:rPr>
        <w:t xml:space="preserve"> mil.lei</w:t>
      </w:r>
      <w:r w:rsidR="00AC50E8" w:rsidRPr="00B24E5D">
        <w:rPr>
          <w:rFonts w:asciiTheme="majorHAnsi" w:hAnsiTheme="majorHAnsi" w:cstheme="majorHAnsi"/>
          <w:i/>
          <w:iCs/>
          <w:sz w:val="24"/>
          <w:szCs w:val="24"/>
          <w:lang w:val="ro-MD"/>
        </w:rPr>
        <w:t xml:space="preserve"> a dus la denaturarea valorii conturilor </w:t>
      </w:r>
      <w:r w:rsidR="00414134">
        <w:rPr>
          <w:rFonts w:asciiTheme="majorHAnsi" w:hAnsiTheme="majorHAnsi" w:cstheme="majorHAnsi"/>
          <w:i/>
          <w:iCs/>
          <w:sz w:val="24"/>
          <w:szCs w:val="24"/>
          <w:lang w:val="ro-MD"/>
        </w:rPr>
        <w:t>„</w:t>
      </w:r>
      <w:r w:rsidR="00AC50E8" w:rsidRPr="00B24E5D">
        <w:rPr>
          <w:rFonts w:asciiTheme="majorHAnsi" w:hAnsiTheme="majorHAnsi" w:cstheme="majorHAnsi"/>
          <w:i/>
          <w:iCs/>
          <w:sz w:val="24"/>
          <w:szCs w:val="24"/>
          <w:lang w:val="ro-MD"/>
        </w:rPr>
        <w:t>Mijloace fixe</w:t>
      </w:r>
      <w:r w:rsidR="00414134">
        <w:rPr>
          <w:rFonts w:asciiTheme="majorHAnsi" w:hAnsiTheme="majorHAnsi" w:cstheme="majorHAnsi"/>
          <w:i/>
          <w:iCs/>
          <w:sz w:val="24"/>
          <w:szCs w:val="24"/>
          <w:lang w:val="ro-MD"/>
        </w:rPr>
        <w:t>”</w:t>
      </w:r>
      <w:r w:rsidR="00AC50E8" w:rsidRPr="00B24E5D">
        <w:rPr>
          <w:rFonts w:asciiTheme="majorHAnsi" w:hAnsiTheme="majorHAnsi" w:cstheme="majorHAnsi"/>
          <w:i/>
          <w:iCs/>
          <w:sz w:val="24"/>
          <w:szCs w:val="24"/>
          <w:lang w:val="ro-MD"/>
        </w:rPr>
        <w:t xml:space="preserve">, </w:t>
      </w:r>
      <w:r w:rsidR="00414134">
        <w:rPr>
          <w:rFonts w:asciiTheme="majorHAnsi" w:hAnsiTheme="majorHAnsi" w:cstheme="majorHAnsi"/>
          <w:i/>
          <w:iCs/>
          <w:sz w:val="24"/>
          <w:szCs w:val="24"/>
          <w:lang w:val="ro-MD"/>
        </w:rPr>
        <w:t>„</w:t>
      </w:r>
      <w:r w:rsidR="00AC50E8" w:rsidRPr="00B24E5D">
        <w:rPr>
          <w:rFonts w:asciiTheme="majorHAnsi" w:hAnsiTheme="majorHAnsi" w:cstheme="majorHAnsi"/>
          <w:i/>
          <w:iCs/>
          <w:sz w:val="24"/>
          <w:szCs w:val="24"/>
          <w:lang w:val="ro-MD"/>
        </w:rPr>
        <w:t>Stocuri</w:t>
      </w:r>
      <w:r w:rsidR="00AC50E8" w:rsidRPr="00921938">
        <w:rPr>
          <w:rFonts w:asciiTheme="majorHAnsi" w:hAnsiTheme="majorHAnsi" w:cstheme="majorHAnsi"/>
          <w:i/>
          <w:iCs/>
          <w:sz w:val="24"/>
          <w:szCs w:val="24"/>
          <w:lang w:val="ro-MD"/>
        </w:rPr>
        <w:t xml:space="preserve"> de materiale circulante</w:t>
      </w:r>
      <w:r w:rsidR="00414134">
        <w:rPr>
          <w:rFonts w:asciiTheme="majorHAnsi" w:hAnsiTheme="majorHAnsi" w:cstheme="majorHAnsi"/>
          <w:i/>
          <w:iCs/>
          <w:sz w:val="24"/>
          <w:szCs w:val="24"/>
          <w:lang w:val="ro-MD"/>
        </w:rPr>
        <w:t>”</w:t>
      </w:r>
      <w:r w:rsidR="00AC50E8" w:rsidRPr="00921938">
        <w:rPr>
          <w:rFonts w:asciiTheme="majorHAnsi" w:hAnsiTheme="majorHAnsi" w:cstheme="majorHAnsi"/>
          <w:i/>
          <w:iCs/>
          <w:sz w:val="24"/>
          <w:szCs w:val="24"/>
          <w:lang w:val="ro-MD"/>
        </w:rPr>
        <w:t xml:space="preserve">, </w:t>
      </w:r>
      <w:r w:rsidR="00414134">
        <w:rPr>
          <w:rFonts w:asciiTheme="majorHAnsi" w:hAnsiTheme="majorHAnsi" w:cstheme="majorHAnsi"/>
          <w:i/>
          <w:iCs/>
          <w:sz w:val="24"/>
          <w:szCs w:val="24"/>
          <w:lang w:val="ro-MD"/>
        </w:rPr>
        <w:t>„</w:t>
      </w:r>
      <w:r w:rsidR="00AC50E8" w:rsidRPr="00921938">
        <w:rPr>
          <w:rFonts w:asciiTheme="majorHAnsi" w:hAnsiTheme="majorHAnsi" w:cstheme="majorHAnsi"/>
          <w:i/>
          <w:iCs/>
          <w:sz w:val="24"/>
          <w:szCs w:val="24"/>
          <w:lang w:val="ro-MD"/>
        </w:rPr>
        <w:t>Valori</w:t>
      </w:r>
      <w:r w:rsidR="00414134">
        <w:rPr>
          <w:rFonts w:asciiTheme="majorHAnsi" w:hAnsiTheme="majorHAnsi" w:cstheme="majorHAnsi"/>
          <w:i/>
          <w:iCs/>
          <w:sz w:val="24"/>
          <w:szCs w:val="24"/>
          <w:lang w:val="ro-MD"/>
        </w:rPr>
        <w:t>”</w:t>
      </w:r>
      <w:r w:rsidR="00AC50E8" w:rsidRPr="00921938">
        <w:rPr>
          <w:rFonts w:asciiTheme="majorHAnsi" w:hAnsiTheme="majorHAnsi" w:cstheme="majorHAnsi"/>
          <w:i/>
          <w:iCs/>
          <w:sz w:val="24"/>
          <w:szCs w:val="24"/>
          <w:lang w:val="ro-MD"/>
        </w:rPr>
        <w:t xml:space="preserve"> și </w:t>
      </w:r>
      <w:r w:rsidR="00414134">
        <w:rPr>
          <w:rFonts w:asciiTheme="majorHAnsi" w:hAnsiTheme="majorHAnsi" w:cstheme="majorHAnsi"/>
          <w:i/>
          <w:iCs/>
          <w:sz w:val="24"/>
          <w:szCs w:val="24"/>
          <w:lang w:val="ro-MD"/>
        </w:rPr>
        <w:t>„</w:t>
      </w:r>
      <w:r w:rsidR="00AC50E8" w:rsidRPr="00921938">
        <w:rPr>
          <w:rFonts w:asciiTheme="majorHAnsi" w:hAnsiTheme="majorHAnsi" w:cstheme="majorHAnsi"/>
          <w:i/>
          <w:iCs/>
          <w:sz w:val="24"/>
          <w:szCs w:val="24"/>
          <w:lang w:val="ro-MD"/>
        </w:rPr>
        <w:t>Terenuri</w:t>
      </w:r>
      <w:r w:rsidR="00414134">
        <w:rPr>
          <w:rFonts w:asciiTheme="majorHAnsi" w:hAnsiTheme="majorHAnsi" w:cstheme="majorHAnsi"/>
          <w:i/>
          <w:iCs/>
          <w:sz w:val="24"/>
          <w:szCs w:val="24"/>
          <w:lang w:val="ro-MD"/>
        </w:rPr>
        <w:t>”</w:t>
      </w:r>
      <w:r w:rsidR="00AC50E8" w:rsidRPr="00921938">
        <w:rPr>
          <w:rStyle w:val="FootnoteReference"/>
          <w:rFonts w:asciiTheme="majorHAnsi" w:hAnsiTheme="majorHAnsi" w:cstheme="majorHAnsi"/>
          <w:i/>
          <w:iCs/>
          <w:sz w:val="24"/>
          <w:szCs w:val="24"/>
          <w:lang w:val="ro-MD"/>
        </w:rPr>
        <w:footnoteReference w:id="13"/>
      </w:r>
      <w:r w:rsidR="00AC50E8" w:rsidRPr="00921938">
        <w:rPr>
          <w:rFonts w:asciiTheme="majorHAnsi" w:hAnsiTheme="majorHAnsi" w:cstheme="majorHAnsi"/>
          <w:i/>
          <w:iCs/>
          <w:sz w:val="24"/>
          <w:szCs w:val="24"/>
          <w:lang w:val="ro-MD"/>
        </w:rPr>
        <w:t xml:space="preserve">. </w:t>
      </w:r>
    </w:p>
    <w:p w14:paraId="2DDEFF2E" w14:textId="77777777" w:rsidR="00967017" w:rsidRPr="00921938" w:rsidRDefault="00B206E8" w:rsidP="00325F1F">
      <w:pPr>
        <w:tabs>
          <w:tab w:val="left" w:pos="0"/>
        </w:tabs>
        <w:spacing w:after="0" w:line="276" w:lineRule="auto"/>
        <w:contextualSpacing/>
        <w:jc w:val="both"/>
        <w:rPr>
          <w:rFonts w:asciiTheme="majorHAnsi" w:eastAsia="Times New Roman" w:hAnsiTheme="majorHAnsi" w:cstheme="majorHAnsi"/>
          <w:sz w:val="24"/>
          <w:szCs w:val="24"/>
          <w:lang w:val="ro-MD"/>
        </w:rPr>
      </w:pPr>
      <w:r w:rsidRPr="00921938">
        <w:rPr>
          <w:rFonts w:asciiTheme="majorHAnsi" w:eastAsia="Times New Roman" w:hAnsiTheme="majorHAnsi" w:cstheme="majorHAnsi"/>
          <w:sz w:val="24"/>
          <w:szCs w:val="24"/>
          <w:lang w:val="ro-MD"/>
        </w:rPr>
        <w:t>Am realizat misiunea de audit în conformitate cu Standardele Internaționale ale Instituțiilor Supreme de Audit aplicate de Curtea de Conturi</w:t>
      </w:r>
      <w:r w:rsidRPr="00921938">
        <w:rPr>
          <w:rStyle w:val="FootnoteReference"/>
          <w:rFonts w:asciiTheme="majorHAnsi" w:eastAsia="Times New Roman" w:hAnsiTheme="majorHAnsi" w:cstheme="majorHAnsi"/>
          <w:sz w:val="24"/>
          <w:szCs w:val="24"/>
          <w:lang w:val="ro-MD"/>
        </w:rPr>
        <w:footnoteReference w:id="14"/>
      </w:r>
      <w:r w:rsidRPr="00921938">
        <w:rPr>
          <w:rFonts w:asciiTheme="majorHAnsi" w:eastAsia="Times New Roman" w:hAnsiTheme="majorHAnsi" w:cstheme="majorHAnsi"/>
          <w:sz w:val="24"/>
          <w:szCs w:val="24"/>
          <w:lang w:val="ro-MD"/>
        </w:rPr>
        <w:t xml:space="preserve">. Responsabilitățile noastre, potrivit standardelor respective, sunt expuse în secțiunea </w:t>
      </w:r>
      <w:r w:rsidRPr="00921938">
        <w:rPr>
          <w:rFonts w:asciiTheme="majorHAnsi" w:eastAsia="Times New Roman" w:hAnsiTheme="majorHAnsi" w:cstheme="majorHAnsi"/>
          <w:i/>
          <w:sz w:val="24"/>
          <w:szCs w:val="24"/>
          <w:lang w:val="ro-MD"/>
        </w:rPr>
        <w:t>Responsabilitățile auditorului într-un audit al situațiilor financiare consolidate</w:t>
      </w:r>
      <w:r w:rsidRPr="00921938">
        <w:rPr>
          <w:rFonts w:asciiTheme="majorHAnsi" w:eastAsia="Times New Roman" w:hAnsiTheme="majorHAnsi" w:cstheme="majorHAnsi"/>
          <w:sz w:val="24"/>
          <w:szCs w:val="24"/>
          <w:lang w:val="ro-MD"/>
        </w:rPr>
        <w:t xml:space="preserve"> din prezentul Raport. Suntem independenți față de instituția auditată și am îndeplinit responsabilitățile de etică, conform cerințelor Codului etic al Curții de Conturi. Considerăm că probele de audit pe care le-am obținut sunt suficiente și adecvate pentru a furniza o bază pentru opinia noastră.</w:t>
      </w:r>
    </w:p>
    <w:p w14:paraId="74B15454" w14:textId="77777777" w:rsidR="00967017" w:rsidRPr="00921938" w:rsidRDefault="00967017" w:rsidP="00325F1F">
      <w:pPr>
        <w:tabs>
          <w:tab w:val="left" w:pos="0"/>
        </w:tabs>
        <w:spacing w:after="0" w:line="276" w:lineRule="auto"/>
        <w:contextualSpacing/>
        <w:jc w:val="both"/>
        <w:rPr>
          <w:rFonts w:asciiTheme="majorHAnsi" w:eastAsia="Times New Roman" w:hAnsiTheme="majorHAnsi" w:cstheme="majorHAnsi"/>
          <w:sz w:val="16"/>
          <w:szCs w:val="16"/>
          <w:lang w:val="ro-MD"/>
        </w:rPr>
      </w:pPr>
    </w:p>
    <w:p w14:paraId="6B5B1CFE" w14:textId="3B787BF0" w:rsidR="00275610" w:rsidRPr="00921938" w:rsidRDefault="00FB2AF2" w:rsidP="00325F1F">
      <w:pPr>
        <w:spacing w:after="0" w:line="276" w:lineRule="auto"/>
        <w:rPr>
          <w:rFonts w:asciiTheme="majorHAnsi" w:hAnsiTheme="majorHAnsi" w:cstheme="majorHAnsi"/>
          <w:b/>
          <w:sz w:val="24"/>
          <w:szCs w:val="24"/>
          <w:lang w:val="ro-MD"/>
        </w:rPr>
      </w:pPr>
      <w:r w:rsidRPr="00921938">
        <w:rPr>
          <w:rFonts w:asciiTheme="majorHAnsi" w:hAnsiTheme="majorHAnsi" w:cstheme="minorHAnsi"/>
          <w:b/>
          <w:bCs/>
          <w:sz w:val="24"/>
          <w:szCs w:val="24"/>
          <w:lang w:val="ro-MD"/>
        </w:rPr>
        <w:t xml:space="preserve">III. </w:t>
      </w:r>
      <w:r w:rsidR="00275610" w:rsidRPr="00921938">
        <w:rPr>
          <w:rFonts w:asciiTheme="majorHAnsi" w:hAnsiTheme="majorHAnsi" w:cstheme="majorHAnsi"/>
          <w:b/>
          <w:sz w:val="24"/>
          <w:szCs w:val="24"/>
          <w:lang w:val="ro-MD"/>
        </w:rPr>
        <w:t>ASPECTELE-CHEIE DE AUDIT</w:t>
      </w:r>
    </w:p>
    <w:p w14:paraId="2174210E" w14:textId="6115F389" w:rsidR="00275610" w:rsidRPr="00921938" w:rsidRDefault="00275610" w:rsidP="00325F1F">
      <w:pPr>
        <w:spacing w:after="0" w:line="276" w:lineRule="auto"/>
        <w:jc w:val="both"/>
        <w:rPr>
          <w:rFonts w:asciiTheme="majorHAnsi" w:hAnsiTheme="majorHAnsi" w:cstheme="minorHAnsi"/>
          <w:bCs/>
          <w:sz w:val="24"/>
          <w:szCs w:val="24"/>
          <w:lang w:val="ro-MD"/>
        </w:rPr>
      </w:pPr>
      <w:r w:rsidRPr="00921938">
        <w:rPr>
          <w:rFonts w:asciiTheme="majorHAnsi" w:hAnsiTheme="majorHAnsi" w:cstheme="majorHAnsi"/>
          <w:sz w:val="24"/>
          <w:szCs w:val="24"/>
          <w:lang w:val="ro-MD"/>
        </w:rPr>
        <w:t>Aspectele-cheie de audit sunt acele aspecte care, în baza raționamentului nostru profesional, au avut cea mai mare importanță pentru auditul rapoartelor financiare ale MECC încheiate la 31 decembrie 201</w:t>
      </w:r>
      <w:r w:rsidR="001B231C" w:rsidRPr="00921938">
        <w:rPr>
          <w:rFonts w:asciiTheme="majorHAnsi" w:hAnsiTheme="majorHAnsi" w:cstheme="majorHAnsi"/>
          <w:sz w:val="24"/>
          <w:szCs w:val="24"/>
          <w:lang w:val="ro-MD"/>
        </w:rPr>
        <w:t>9</w:t>
      </w:r>
      <w:r w:rsidRPr="00921938">
        <w:rPr>
          <w:rFonts w:asciiTheme="majorHAnsi" w:hAnsiTheme="majorHAnsi" w:cstheme="majorHAnsi"/>
          <w:sz w:val="24"/>
          <w:szCs w:val="24"/>
          <w:lang w:val="ro-MD"/>
        </w:rPr>
        <w:t xml:space="preserve">. </w:t>
      </w:r>
      <w:r w:rsidR="003C781B" w:rsidRPr="00921938">
        <w:rPr>
          <w:rFonts w:asciiTheme="majorHAnsi" w:eastAsia="Calibri" w:hAnsiTheme="majorHAnsi" w:cstheme="majorHAnsi"/>
          <w:sz w:val="24"/>
          <w:szCs w:val="24"/>
          <w:lang w:val="ro-MD"/>
        </w:rPr>
        <w:t xml:space="preserve">Aceste aspecte au fost abordate în contextul auditului situațiilor financiare în ansamblu şi în formarea opiniei noastre asupra acestora şi nu oferim o opinie separată cu privire la aceste aspecte. </w:t>
      </w:r>
      <w:r w:rsidR="003C781B" w:rsidRPr="00921938">
        <w:rPr>
          <w:rFonts w:asciiTheme="majorHAnsi" w:hAnsiTheme="majorHAnsi" w:cstheme="minorHAnsi"/>
          <w:bCs/>
          <w:sz w:val="24"/>
          <w:szCs w:val="24"/>
          <w:lang w:val="ro-MD"/>
        </w:rPr>
        <w:t xml:space="preserve">Cu excepția aspectului descris în </w:t>
      </w:r>
      <w:r w:rsidR="003C781B" w:rsidRPr="00921938">
        <w:rPr>
          <w:rFonts w:asciiTheme="majorHAnsi" w:eastAsia="Times New Roman" w:hAnsiTheme="majorHAnsi" w:cstheme="majorHAnsi"/>
          <w:color w:val="000000" w:themeColor="text1"/>
          <w:sz w:val="24"/>
          <w:szCs w:val="24"/>
          <w:lang w:val="ro-MD"/>
        </w:rPr>
        <w:t>secțiunea</w:t>
      </w:r>
      <w:r w:rsidR="003C781B" w:rsidRPr="00921938">
        <w:rPr>
          <w:rFonts w:asciiTheme="majorHAnsi" w:hAnsiTheme="majorHAnsi" w:cstheme="minorHAnsi"/>
          <w:bCs/>
          <w:sz w:val="24"/>
          <w:szCs w:val="24"/>
          <w:lang w:val="ro-MD"/>
        </w:rPr>
        <w:t xml:space="preserve"> </w:t>
      </w:r>
      <w:r w:rsidR="003C781B" w:rsidRPr="00921938">
        <w:rPr>
          <w:rFonts w:asciiTheme="majorHAnsi" w:hAnsiTheme="majorHAnsi" w:cstheme="minorHAnsi"/>
          <w:bCs/>
          <w:i/>
          <w:sz w:val="24"/>
          <w:szCs w:val="24"/>
          <w:lang w:val="ro-MD"/>
        </w:rPr>
        <w:t>Baza pentru opinia c</w:t>
      </w:r>
      <w:r w:rsidR="007B5D90" w:rsidRPr="00921938">
        <w:rPr>
          <w:rFonts w:asciiTheme="majorHAnsi" w:hAnsiTheme="majorHAnsi" w:cstheme="minorHAnsi"/>
          <w:bCs/>
          <w:i/>
          <w:sz w:val="24"/>
          <w:szCs w:val="24"/>
          <w:lang w:val="ro-MD"/>
        </w:rPr>
        <w:t>ontrară</w:t>
      </w:r>
      <w:r w:rsidR="003C781B" w:rsidRPr="00921938">
        <w:rPr>
          <w:rFonts w:asciiTheme="majorHAnsi" w:hAnsiTheme="majorHAnsi" w:cstheme="minorHAnsi"/>
          <w:bCs/>
          <w:sz w:val="24"/>
          <w:szCs w:val="24"/>
          <w:lang w:val="ro-MD"/>
        </w:rPr>
        <w:t>, am determinat că nu mai există alte aspecte-cheie de audit ce trebuie comunicate în Raportul de audit.</w:t>
      </w:r>
    </w:p>
    <w:p w14:paraId="222CABAF" w14:textId="77777777" w:rsidR="00FB6B43" w:rsidRPr="00921938" w:rsidRDefault="00FB6B43" w:rsidP="00325F1F">
      <w:pPr>
        <w:spacing w:after="0" w:line="276" w:lineRule="auto"/>
        <w:jc w:val="both"/>
        <w:rPr>
          <w:rFonts w:asciiTheme="majorHAnsi" w:hAnsiTheme="majorHAnsi" w:cstheme="majorHAnsi"/>
          <w:sz w:val="16"/>
          <w:szCs w:val="16"/>
          <w:lang w:val="ro-MD"/>
        </w:rPr>
      </w:pPr>
    </w:p>
    <w:p w14:paraId="77636591" w14:textId="18149642" w:rsidR="00275610" w:rsidRPr="00921938" w:rsidRDefault="00B06123" w:rsidP="00325F1F">
      <w:pPr>
        <w:pStyle w:val="Heading1"/>
        <w:spacing w:before="0" w:line="276" w:lineRule="auto"/>
        <w:jc w:val="left"/>
        <w:rPr>
          <w:rFonts w:asciiTheme="majorHAnsi" w:hAnsiTheme="majorHAnsi" w:cstheme="majorHAnsi"/>
          <w:sz w:val="24"/>
          <w:szCs w:val="24"/>
          <w:lang w:val="ro-MD"/>
        </w:rPr>
      </w:pPr>
      <w:r w:rsidRPr="00921938">
        <w:rPr>
          <w:rFonts w:asciiTheme="majorHAnsi" w:hAnsiTheme="majorHAnsi" w:cstheme="majorHAnsi"/>
          <w:sz w:val="24"/>
          <w:szCs w:val="24"/>
          <w:lang w:val="ro-MD"/>
        </w:rPr>
        <w:t>I</w:t>
      </w:r>
      <w:r w:rsidR="00275610" w:rsidRPr="00921938">
        <w:rPr>
          <w:rFonts w:asciiTheme="majorHAnsi" w:hAnsiTheme="majorHAnsi" w:cstheme="majorHAnsi"/>
          <w:sz w:val="24"/>
          <w:szCs w:val="24"/>
          <w:lang w:val="ro-MD"/>
        </w:rPr>
        <w:t>V. ALTE INFORMAȚII</w:t>
      </w:r>
    </w:p>
    <w:p w14:paraId="3E28CB2C" w14:textId="5FF03819" w:rsidR="004A704A" w:rsidRPr="00921938" w:rsidRDefault="00B06123" w:rsidP="00325F1F">
      <w:pPr>
        <w:spacing w:after="0" w:line="276" w:lineRule="auto"/>
        <w:jc w:val="both"/>
        <w:rPr>
          <w:rFonts w:asciiTheme="majorHAnsi" w:hAnsiTheme="majorHAnsi" w:cstheme="majorHAnsi"/>
          <w:sz w:val="24"/>
          <w:szCs w:val="24"/>
          <w:lang w:val="ro-MD"/>
        </w:rPr>
      </w:pPr>
      <w:r w:rsidRPr="00921938">
        <w:rPr>
          <w:rFonts w:ascii="Calibri Light" w:hAnsi="Calibri Light" w:cs="Calibri Light"/>
          <w:b/>
          <w:sz w:val="24"/>
          <w:szCs w:val="24"/>
          <w:lang w:val="ro-MD"/>
        </w:rPr>
        <w:t>4</w:t>
      </w:r>
      <w:r w:rsidR="004A704A" w:rsidRPr="00921938">
        <w:rPr>
          <w:rFonts w:ascii="Calibri Light" w:hAnsi="Calibri Light" w:cs="Calibri Light"/>
          <w:b/>
          <w:sz w:val="24"/>
          <w:szCs w:val="24"/>
          <w:lang w:val="ro-MD"/>
        </w:rPr>
        <w:t>.1.</w:t>
      </w:r>
      <w:r w:rsidR="004A704A" w:rsidRPr="00921938">
        <w:rPr>
          <w:rFonts w:ascii="Calibri Light" w:hAnsi="Calibri Light" w:cs="Calibri Light"/>
          <w:sz w:val="24"/>
          <w:szCs w:val="24"/>
          <w:lang w:val="ro-MD"/>
        </w:rPr>
        <w:t xml:space="preserve"> LT „Ștefan cel Mare”</w:t>
      </w:r>
      <w:r w:rsidR="00414134">
        <w:rPr>
          <w:rFonts w:ascii="Calibri Light" w:hAnsi="Calibri Light" w:cs="Calibri Light"/>
          <w:sz w:val="24"/>
          <w:szCs w:val="24"/>
          <w:lang w:val="ro-MD"/>
        </w:rPr>
        <w:t xml:space="preserve"> din</w:t>
      </w:r>
      <w:r w:rsidR="004A704A" w:rsidRPr="00921938">
        <w:rPr>
          <w:rFonts w:ascii="Calibri Light" w:hAnsi="Calibri Light" w:cs="Calibri Light"/>
          <w:sz w:val="24"/>
          <w:szCs w:val="24"/>
          <w:lang w:val="ro-MD"/>
        </w:rPr>
        <w:t xml:space="preserve"> or.Grigoropol nu a înregistrat în evidența contabilă mijlocul de transport primit gratuit în valoare de 511,0 mii lei.</w:t>
      </w:r>
    </w:p>
    <w:p w14:paraId="65CEE068" w14:textId="079AC0C4" w:rsidR="003C781B" w:rsidRPr="00921938" w:rsidRDefault="00B06123" w:rsidP="00325F1F">
      <w:pPr>
        <w:autoSpaceDE w:val="0"/>
        <w:autoSpaceDN w:val="0"/>
        <w:adjustRightInd w:val="0"/>
        <w:spacing w:after="0" w:line="276" w:lineRule="auto"/>
        <w:ind w:right="-4"/>
        <w:jc w:val="both"/>
        <w:rPr>
          <w:rFonts w:asciiTheme="majorHAnsi" w:eastAsia="Times New Roman" w:hAnsiTheme="majorHAnsi" w:cstheme="majorHAnsi"/>
          <w:iCs/>
          <w:sz w:val="24"/>
          <w:szCs w:val="24"/>
          <w:lang w:val="ro-MD" w:eastAsia="ru-RU"/>
        </w:rPr>
      </w:pPr>
      <w:r w:rsidRPr="00921938">
        <w:rPr>
          <w:rFonts w:asciiTheme="majorHAnsi" w:hAnsiTheme="majorHAnsi" w:cstheme="majorHAnsi"/>
          <w:b/>
          <w:sz w:val="24"/>
          <w:szCs w:val="24"/>
          <w:lang w:val="ro-MD"/>
        </w:rPr>
        <w:t>4</w:t>
      </w:r>
      <w:r w:rsidR="003C781B" w:rsidRPr="00921938">
        <w:rPr>
          <w:rFonts w:asciiTheme="majorHAnsi" w:hAnsiTheme="majorHAnsi" w:cstheme="majorHAnsi"/>
          <w:b/>
          <w:sz w:val="24"/>
          <w:szCs w:val="24"/>
          <w:lang w:val="ro-MD"/>
        </w:rPr>
        <w:t>.</w:t>
      </w:r>
      <w:r w:rsidR="000F1A94" w:rsidRPr="00921938">
        <w:rPr>
          <w:rFonts w:asciiTheme="majorHAnsi" w:hAnsiTheme="majorHAnsi" w:cstheme="majorHAnsi"/>
          <w:b/>
          <w:sz w:val="24"/>
          <w:szCs w:val="24"/>
          <w:lang w:val="ro-MD"/>
        </w:rPr>
        <w:t>2</w:t>
      </w:r>
      <w:r w:rsidR="003C781B" w:rsidRPr="00921938">
        <w:rPr>
          <w:rFonts w:asciiTheme="majorHAnsi" w:hAnsiTheme="majorHAnsi" w:cstheme="majorHAnsi"/>
          <w:b/>
          <w:sz w:val="24"/>
          <w:szCs w:val="24"/>
          <w:lang w:val="ro-MD"/>
        </w:rPr>
        <w:t>.</w:t>
      </w:r>
      <w:r w:rsidR="003C781B" w:rsidRPr="00921938">
        <w:rPr>
          <w:rFonts w:asciiTheme="majorHAnsi" w:hAnsiTheme="majorHAnsi" w:cstheme="majorHAnsi"/>
          <w:sz w:val="24"/>
          <w:szCs w:val="24"/>
          <w:lang w:val="ro-MD"/>
        </w:rPr>
        <w:t xml:space="preserve"> </w:t>
      </w:r>
      <w:r w:rsidR="00740DD2" w:rsidRPr="00921938">
        <w:rPr>
          <w:rFonts w:asciiTheme="majorHAnsi" w:hAnsiTheme="majorHAnsi" w:cstheme="majorHAnsi"/>
          <w:sz w:val="24"/>
          <w:szCs w:val="24"/>
          <w:lang w:val="ro-MD"/>
        </w:rPr>
        <w:t>MECC și instituțiile din subordine au s</w:t>
      </w:r>
      <w:r w:rsidR="003C781B" w:rsidRPr="00921938">
        <w:rPr>
          <w:rFonts w:asciiTheme="majorHAnsi" w:eastAsia="Times New Roman" w:hAnsiTheme="majorHAnsi" w:cstheme="majorHAnsi"/>
          <w:iCs/>
          <w:sz w:val="24"/>
          <w:szCs w:val="24"/>
          <w:lang w:val="ro-MD" w:eastAsia="ru-RU"/>
        </w:rPr>
        <w:t>uporta</w:t>
      </w:r>
      <w:r w:rsidR="00740DD2" w:rsidRPr="00921938">
        <w:rPr>
          <w:rFonts w:asciiTheme="majorHAnsi" w:eastAsia="Times New Roman" w:hAnsiTheme="majorHAnsi" w:cstheme="majorHAnsi"/>
          <w:iCs/>
          <w:sz w:val="24"/>
          <w:szCs w:val="24"/>
          <w:lang w:val="ro-MD" w:eastAsia="ru-RU"/>
        </w:rPr>
        <w:t xml:space="preserve">t </w:t>
      </w:r>
      <w:r w:rsidR="003C781B" w:rsidRPr="00921938">
        <w:rPr>
          <w:rFonts w:asciiTheme="majorHAnsi" w:eastAsia="Times New Roman" w:hAnsiTheme="majorHAnsi" w:cstheme="majorHAnsi"/>
          <w:iCs/>
          <w:sz w:val="24"/>
          <w:szCs w:val="24"/>
          <w:lang w:val="ro-MD" w:eastAsia="ru-RU"/>
        </w:rPr>
        <w:t xml:space="preserve">neregulamentar </w:t>
      </w:r>
      <w:r w:rsidR="00740DD2" w:rsidRPr="00921938">
        <w:rPr>
          <w:rFonts w:asciiTheme="majorHAnsi" w:eastAsia="Times New Roman" w:hAnsiTheme="majorHAnsi" w:cstheme="majorHAnsi"/>
          <w:iCs/>
          <w:sz w:val="24"/>
          <w:szCs w:val="24"/>
          <w:lang w:val="ro-MD" w:eastAsia="ru-RU"/>
        </w:rPr>
        <w:t xml:space="preserve">cheltuieli </w:t>
      </w:r>
      <w:r w:rsidR="003C781B" w:rsidRPr="00921938">
        <w:rPr>
          <w:rFonts w:asciiTheme="majorHAnsi" w:eastAsia="Times New Roman" w:hAnsiTheme="majorHAnsi" w:cstheme="majorHAnsi"/>
          <w:iCs/>
          <w:sz w:val="24"/>
          <w:szCs w:val="24"/>
          <w:lang w:val="ro-MD" w:eastAsia="ru-RU"/>
        </w:rPr>
        <w:t xml:space="preserve">aferente retribuirii muncii </w:t>
      </w:r>
      <w:r w:rsidR="006B2741" w:rsidRPr="00921938">
        <w:rPr>
          <w:rFonts w:asciiTheme="majorHAnsi" w:eastAsia="Times New Roman" w:hAnsiTheme="majorHAnsi" w:cstheme="majorHAnsi"/>
          <w:iCs/>
          <w:sz w:val="24"/>
          <w:szCs w:val="24"/>
          <w:lang w:val="ro-MD" w:eastAsia="ru-RU"/>
        </w:rPr>
        <w:t xml:space="preserve">în sumă </w:t>
      </w:r>
      <w:r w:rsidR="003C781B" w:rsidRPr="00921938">
        <w:rPr>
          <w:rFonts w:asciiTheme="majorHAnsi" w:eastAsia="Times New Roman" w:hAnsiTheme="majorHAnsi" w:cstheme="majorHAnsi"/>
          <w:iCs/>
          <w:sz w:val="24"/>
          <w:szCs w:val="24"/>
          <w:lang w:val="ro-MD" w:eastAsia="ru-RU"/>
        </w:rPr>
        <w:t>de 941,3 mii lei</w:t>
      </w:r>
      <w:r w:rsidR="006B2741" w:rsidRPr="00921938">
        <w:rPr>
          <w:rFonts w:asciiTheme="majorHAnsi" w:eastAsia="Times New Roman" w:hAnsiTheme="majorHAnsi" w:cstheme="majorHAnsi"/>
          <w:iCs/>
          <w:sz w:val="24"/>
          <w:szCs w:val="24"/>
          <w:lang w:val="ro-MD" w:eastAsia="ru-RU"/>
        </w:rPr>
        <w:t>,</w:t>
      </w:r>
      <w:r w:rsidR="00740DD2" w:rsidRPr="00921938">
        <w:rPr>
          <w:rFonts w:asciiTheme="majorHAnsi" w:eastAsia="Times New Roman" w:hAnsiTheme="majorHAnsi" w:cstheme="majorHAnsi"/>
          <w:iCs/>
          <w:sz w:val="24"/>
          <w:szCs w:val="24"/>
          <w:lang w:val="ro-MD" w:eastAsia="ru-RU"/>
        </w:rPr>
        <w:t xml:space="preserve"> </w:t>
      </w:r>
      <w:r w:rsidR="006B2741" w:rsidRPr="00921938">
        <w:rPr>
          <w:rFonts w:asciiTheme="majorHAnsi" w:eastAsia="Times New Roman" w:hAnsiTheme="majorHAnsi" w:cstheme="majorHAnsi"/>
          <w:iCs/>
          <w:sz w:val="24"/>
          <w:szCs w:val="24"/>
          <w:lang w:val="ro-MD" w:eastAsia="ru-RU"/>
        </w:rPr>
        <w:t>ca urmare a</w:t>
      </w:r>
      <w:r w:rsidR="003C781B" w:rsidRPr="00921938">
        <w:rPr>
          <w:rFonts w:asciiTheme="majorHAnsi" w:eastAsia="Times New Roman" w:hAnsiTheme="majorHAnsi" w:cstheme="majorHAnsi"/>
          <w:iCs/>
          <w:sz w:val="24"/>
          <w:szCs w:val="24"/>
          <w:lang w:val="ro-MD" w:eastAsia="ru-RU"/>
        </w:rPr>
        <w:t>:</w:t>
      </w:r>
    </w:p>
    <w:p w14:paraId="4C83D5D7" w14:textId="0F06373F" w:rsidR="003C781B" w:rsidRPr="00921938" w:rsidRDefault="00AB7295" w:rsidP="00325F1F">
      <w:pPr>
        <w:autoSpaceDE w:val="0"/>
        <w:autoSpaceDN w:val="0"/>
        <w:adjustRightInd w:val="0"/>
        <w:spacing w:after="0" w:line="276" w:lineRule="auto"/>
        <w:jc w:val="both"/>
        <w:rPr>
          <w:rFonts w:asciiTheme="majorHAnsi" w:eastAsia="Times New Roman" w:hAnsiTheme="majorHAnsi" w:cstheme="majorHAnsi"/>
          <w:sz w:val="24"/>
          <w:szCs w:val="24"/>
          <w:lang w:val="ro-MD" w:eastAsia="ru-RU"/>
        </w:rPr>
      </w:pPr>
      <w:r>
        <w:rPr>
          <w:rFonts w:asciiTheme="majorHAnsi" w:eastAsia="Times New Roman" w:hAnsiTheme="majorHAnsi" w:cstheme="majorHAnsi"/>
          <w:iCs/>
          <w:sz w:val="24"/>
          <w:szCs w:val="24"/>
          <w:lang w:val="ro-MD" w:eastAsia="ru-RU"/>
        </w:rPr>
        <w:t xml:space="preserve">- </w:t>
      </w:r>
      <w:r w:rsidR="003C781B" w:rsidRPr="00921938">
        <w:rPr>
          <w:rFonts w:asciiTheme="majorHAnsi" w:eastAsia="Times New Roman" w:hAnsiTheme="majorHAnsi" w:cstheme="majorHAnsi"/>
          <w:iCs/>
          <w:sz w:val="24"/>
          <w:szCs w:val="24"/>
          <w:lang w:val="ro-MD" w:eastAsia="ru-RU"/>
        </w:rPr>
        <w:t>determinării greșite</w:t>
      </w:r>
      <w:r w:rsidR="00F325CF" w:rsidRPr="00921938">
        <w:rPr>
          <w:rStyle w:val="FootnoteReference"/>
          <w:rFonts w:asciiTheme="majorHAnsi" w:eastAsia="ArialMT" w:hAnsiTheme="majorHAnsi" w:cstheme="majorHAnsi"/>
          <w:sz w:val="24"/>
          <w:szCs w:val="24"/>
          <w:lang w:val="ro-MD" w:eastAsia="ru-RU"/>
        </w:rPr>
        <w:footnoteReference w:id="15"/>
      </w:r>
      <w:r w:rsidR="003C781B" w:rsidRPr="00921938">
        <w:rPr>
          <w:rFonts w:asciiTheme="majorHAnsi" w:eastAsia="Times New Roman" w:hAnsiTheme="majorHAnsi" w:cstheme="majorHAnsi"/>
          <w:iCs/>
          <w:sz w:val="24"/>
          <w:szCs w:val="24"/>
          <w:lang w:val="ro-MD" w:eastAsia="ru-RU"/>
        </w:rPr>
        <w:t xml:space="preserve"> a vechimii mu</w:t>
      </w:r>
      <w:r w:rsidR="006C5F46" w:rsidRPr="00921938">
        <w:rPr>
          <w:rFonts w:asciiTheme="majorHAnsi" w:eastAsia="Times New Roman" w:hAnsiTheme="majorHAnsi" w:cstheme="majorHAnsi"/>
          <w:iCs/>
          <w:sz w:val="24"/>
          <w:szCs w:val="24"/>
          <w:lang w:val="ro-MD" w:eastAsia="ru-RU"/>
        </w:rPr>
        <w:t>n</w:t>
      </w:r>
      <w:r w:rsidR="003C781B" w:rsidRPr="00921938">
        <w:rPr>
          <w:rFonts w:asciiTheme="majorHAnsi" w:eastAsia="Times New Roman" w:hAnsiTheme="majorHAnsi" w:cstheme="majorHAnsi"/>
          <w:iCs/>
          <w:sz w:val="24"/>
          <w:szCs w:val="24"/>
          <w:lang w:val="ro-MD" w:eastAsia="ru-RU"/>
        </w:rPr>
        <w:t xml:space="preserve">cii și a claselor de salarizare </w:t>
      </w:r>
      <w:r w:rsidR="00F325CF" w:rsidRPr="00921938">
        <w:rPr>
          <w:rFonts w:asciiTheme="majorHAnsi" w:eastAsia="ArialMT" w:hAnsiTheme="majorHAnsi" w:cstheme="majorHAnsi"/>
          <w:sz w:val="24"/>
          <w:szCs w:val="24"/>
          <w:lang w:val="ro-MD" w:eastAsia="ru-RU"/>
        </w:rPr>
        <w:t>angajaților din aparatul MECC</w:t>
      </w:r>
      <w:r w:rsidR="00F325CF" w:rsidRPr="00921938">
        <w:rPr>
          <w:rFonts w:asciiTheme="majorHAnsi" w:eastAsia="Times New Roman" w:hAnsiTheme="majorHAnsi" w:cstheme="majorHAnsi"/>
          <w:iCs/>
          <w:sz w:val="24"/>
          <w:szCs w:val="24"/>
          <w:lang w:val="ro-MD" w:eastAsia="ru-RU"/>
        </w:rPr>
        <w:t xml:space="preserve"> </w:t>
      </w:r>
      <w:r w:rsidR="003C781B" w:rsidRPr="00921938">
        <w:rPr>
          <w:rFonts w:asciiTheme="majorHAnsi" w:eastAsia="ArialMT" w:hAnsiTheme="majorHAnsi" w:cstheme="majorHAnsi"/>
          <w:sz w:val="24"/>
          <w:szCs w:val="24"/>
          <w:lang w:val="ro-MD" w:eastAsia="ru-RU"/>
        </w:rPr>
        <w:t>(22,41 mii lei);</w:t>
      </w:r>
    </w:p>
    <w:p w14:paraId="78AF6DB2" w14:textId="0D8C35CC" w:rsidR="003C781B" w:rsidRPr="00921938" w:rsidRDefault="00AB7295" w:rsidP="00325F1F">
      <w:pPr>
        <w:autoSpaceDE w:val="0"/>
        <w:autoSpaceDN w:val="0"/>
        <w:adjustRightInd w:val="0"/>
        <w:spacing w:after="0" w:line="276" w:lineRule="auto"/>
        <w:jc w:val="both"/>
        <w:rPr>
          <w:rFonts w:asciiTheme="majorHAnsi" w:eastAsia="Times New Roman" w:hAnsiTheme="majorHAnsi" w:cstheme="majorHAnsi"/>
          <w:sz w:val="24"/>
          <w:szCs w:val="24"/>
          <w:lang w:val="ro-MD" w:eastAsia="ru-RU"/>
        </w:rPr>
      </w:pPr>
      <w:r>
        <w:rPr>
          <w:rFonts w:asciiTheme="majorHAnsi" w:eastAsia="ArialMT" w:hAnsiTheme="majorHAnsi" w:cstheme="majorHAnsi"/>
          <w:sz w:val="24"/>
          <w:szCs w:val="24"/>
          <w:lang w:val="ro-MD" w:eastAsia="ru-RU"/>
        </w:rPr>
        <w:t xml:space="preserve">- </w:t>
      </w:r>
      <w:r w:rsidR="003C781B" w:rsidRPr="00921938">
        <w:rPr>
          <w:rFonts w:asciiTheme="majorHAnsi" w:eastAsia="ArialMT" w:hAnsiTheme="majorHAnsi" w:cstheme="majorHAnsi"/>
          <w:sz w:val="24"/>
          <w:szCs w:val="24"/>
          <w:lang w:val="ro-MD" w:eastAsia="ru-RU"/>
        </w:rPr>
        <w:t>majorării claselor de salarizare pentru angajații școlilor sportive în funcți</w:t>
      </w:r>
      <w:r w:rsidR="00414134">
        <w:rPr>
          <w:rFonts w:asciiTheme="majorHAnsi" w:eastAsia="ArialMT" w:hAnsiTheme="majorHAnsi" w:cstheme="majorHAnsi"/>
          <w:sz w:val="24"/>
          <w:szCs w:val="24"/>
          <w:lang w:val="ro-MD" w:eastAsia="ru-RU"/>
        </w:rPr>
        <w:t>ile</w:t>
      </w:r>
      <w:r w:rsidR="003C781B" w:rsidRPr="00921938">
        <w:rPr>
          <w:rFonts w:asciiTheme="majorHAnsi" w:eastAsia="ArialMT" w:hAnsiTheme="majorHAnsi" w:cstheme="majorHAnsi"/>
          <w:sz w:val="24"/>
          <w:szCs w:val="24"/>
          <w:lang w:val="ro-MD" w:eastAsia="ru-RU"/>
        </w:rPr>
        <w:t xml:space="preserve"> de medici (98,81 mii lei) și antrenori (596,06 mii lei), </w:t>
      </w:r>
      <w:r w:rsidR="00F325CF" w:rsidRPr="00921938">
        <w:rPr>
          <w:rFonts w:asciiTheme="majorHAnsi" w:eastAsia="ArialMT" w:hAnsiTheme="majorHAnsi" w:cstheme="majorHAnsi"/>
          <w:sz w:val="24"/>
          <w:szCs w:val="24"/>
          <w:lang w:val="ro-MD" w:eastAsia="ru-RU"/>
        </w:rPr>
        <w:t>deși aceștia nu au</w:t>
      </w:r>
      <w:r w:rsidR="003C781B" w:rsidRPr="00921938">
        <w:rPr>
          <w:rFonts w:asciiTheme="majorHAnsi" w:eastAsia="ArialMT" w:hAnsiTheme="majorHAnsi" w:cstheme="majorHAnsi"/>
          <w:sz w:val="24"/>
          <w:szCs w:val="24"/>
          <w:lang w:val="ro-MD" w:eastAsia="ru-RU"/>
        </w:rPr>
        <w:t xml:space="preserve"> studiil</w:t>
      </w:r>
      <w:r w:rsidR="00F325CF" w:rsidRPr="00921938">
        <w:rPr>
          <w:rFonts w:asciiTheme="majorHAnsi" w:eastAsia="ArialMT" w:hAnsiTheme="majorHAnsi" w:cstheme="majorHAnsi"/>
          <w:sz w:val="24"/>
          <w:szCs w:val="24"/>
          <w:lang w:val="ro-MD" w:eastAsia="ru-RU"/>
        </w:rPr>
        <w:t>e</w:t>
      </w:r>
      <w:r w:rsidR="003C781B" w:rsidRPr="00921938">
        <w:rPr>
          <w:rFonts w:asciiTheme="majorHAnsi" w:eastAsia="ArialMT" w:hAnsiTheme="majorHAnsi" w:cstheme="majorHAnsi"/>
          <w:sz w:val="24"/>
          <w:szCs w:val="24"/>
          <w:lang w:val="ro-MD" w:eastAsia="ru-RU"/>
        </w:rPr>
        <w:t xml:space="preserve"> suplimentare speciale</w:t>
      </w:r>
      <w:r w:rsidR="00F325CF" w:rsidRPr="00921938">
        <w:rPr>
          <w:rFonts w:asciiTheme="majorHAnsi" w:eastAsia="ArialMT" w:hAnsiTheme="majorHAnsi" w:cstheme="majorHAnsi"/>
          <w:sz w:val="24"/>
          <w:szCs w:val="24"/>
          <w:lang w:val="ro-MD" w:eastAsia="ru-RU"/>
        </w:rPr>
        <w:t xml:space="preserve"> prevăzute</w:t>
      </w:r>
      <w:r w:rsidR="003C781B" w:rsidRPr="00921938">
        <w:rPr>
          <w:rStyle w:val="FootnoteReference"/>
          <w:rFonts w:asciiTheme="majorHAnsi" w:eastAsia="ArialMT" w:hAnsiTheme="majorHAnsi" w:cstheme="majorHAnsi"/>
          <w:sz w:val="24"/>
          <w:szCs w:val="24"/>
          <w:lang w:val="ro-MD" w:eastAsia="ru-RU"/>
        </w:rPr>
        <w:footnoteReference w:id="16"/>
      </w:r>
      <w:r w:rsidR="003C781B" w:rsidRPr="00921938">
        <w:rPr>
          <w:rFonts w:asciiTheme="majorHAnsi" w:eastAsia="ArialMT" w:hAnsiTheme="majorHAnsi" w:cstheme="majorHAnsi"/>
          <w:sz w:val="24"/>
          <w:szCs w:val="24"/>
          <w:lang w:val="ro-MD" w:eastAsia="ru-RU"/>
        </w:rPr>
        <w:t>;</w:t>
      </w:r>
    </w:p>
    <w:p w14:paraId="7D1048A3" w14:textId="1C7CBB0F" w:rsidR="003C781B" w:rsidRPr="00921938" w:rsidRDefault="00AB7295" w:rsidP="00325F1F">
      <w:pPr>
        <w:autoSpaceDE w:val="0"/>
        <w:autoSpaceDN w:val="0"/>
        <w:adjustRightInd w:val="0"/>
        <w:spacing w:after="0" w:line="276" w:lineRule="auto"/>
        <w:jc w:val="both"/>
        <w:rPr>
          <w:rFonts w:asciiTheme="majorHAnsi" w:eastAsia="Times New Roman" w:hAnsiTheme="majorHAnsi" w:cstheme="majorHAnsi"/>
          <w:sz w:val="24"/>
          <w:szCs w:val="24"/>
          <w:lang w:val="ro-MD" w:eastAsia="ru-RU"/>
        </w:rPr>
      </w:pPr>
      <w:r>
        <w:rPr>
          <w:rFonts w:asciiTheme="majorHAnsi" w:eastAsia="Times New Roman" w:hAnsiTheme="majorHAnsi" w:cstheme="majorHAnsi"/>
          <w:sz w:val="24"/>
          <w:szCs w:val="24"/>
          <w:lang w:val="ro-MD" w:eastAsia="ru-RU"/>
        </w:rPr>
        <w:t xml:space="preserve">- </w:t>
      </w:r>
      <w:r w:rsidR="003C781B" w:rsidRPr="00921938">
        <w:rPr>
          <w:rFonts w:asciiTheme="majorHAnsi" w:eastAsia="Times New Roman" w:hAnsiTheme="majorHAnsi" w:cstheme="majorHAnsi"/>
          <w:sz w:val="24"/>
          <w:szCs w:val="24"/>
          <w:lang w:val="ro-MD" w:eastAsia="ru-RU"/>
        </w:rPr>
        <w:t>stabilirii incorecte a clasei de salarizare (7,9 mii lei</w:t>
      </w:r>
      <w:r w:rsidR="003C781B" w:rsidRPr="00921938">
        <w:rPr>
          <w:rStyle w:val="FootnoteReference"/>
          <w:rFonts w:asciiTheme="majorHAnsi" w:eastAsia="Times New Roman" w:hAnsiTheme="majorHAnsi" w:cstheme="majorHAnsi"/>
          <w:sz w:val="24"/>
          <w:szCs w:val="24"/>
          <w:lang w:val="ro-MD" w:eastAsia="ru-RU"/>
        </w:rPr>
        <w:footnoteReference w:id="17"/>
      </w:r>
      <w:r w:rsidR="003C781B" w:rsidRPr="00921938">
        <w:rPr>
          <w:rFonts w:asciiTheme="majorHAnsi" w:eastAsia="Times New Roman" w:hAnsiTheme="majorHAnsi" w:cstheme="majorHAnsi"/>
          <w:sz w:val="24"/>
          <w:szCs w:val="24"/>
          <w:lang w:val="ro-MD" w:eastAsia="ru-RU"/>
        </w:rPr>
        <w:t>), treptei de salarizare (1,6 mii lei</w:t>
      </w:r>
      <w:r w:rsidR="003C781B" w:rsidRPr="00921938">
        <w:rPr>
          <w:rStyle w:val="FootnoteReference"/>
          <w:rFonts w:asciiTheme="majorHAnsi" w:eastAsia="Times New Roman" w:hAnsiTheme="majorHAnsi" w:cstheme="majorHAnsi"/>
          <w:sz w:val="24"/>
          <w:szCs w:val="24"/>
          <w:lang w:val="ro-MD" w:eastAsia="ru-RU"/>
        </w:rPr>
        <w:footnoteReference w:id="18"/>
      </w:r>
      <w:r w:rsidR="003C781B" w:rsidRPr="00921938">
        <w:rPr>
          <w:rFonts w:asciiTheme="majorHAnsi" w:eastAsia="Times New Roman" w:hAnsiTheme="majorHAnsi" w:cstheme="majorHAnsi"/>
          <w:sz w:val="24"/>
          <w:szCs w:val="24"/>
          <w:lang w:val="ro-MD" w:eastAsia="ru-RU"/>
        </w:rPr>
        <w:t xml:space="preserve">), </w:t>
      </w:r>
      <w:r w:rsidR="00237087" w:rsidRPr="00921938">
        <w:rPr>
          <w:rFonts w:asciiTheme="majorHAnsi" w:eastAsia="Times New Roman" w:hAnsiTheme="majorHAnsi" w:cstheme="majorHAnsi"/>
          <w:sz w:val="24"/>
          <w:szCs w:val="24"/>
          <w:lang w:val="ro-MD" w:eastAsia="ru-RU"/>
        </w:rPr>
        <w:t xml:space="preserve">a salariului în cazul </w:t>
      </w:r>
      <w:r w:rsidR="003C781B" w:rsidRPr="00921938">
        <w:rPr>
          <w:rFonts w:asciiTheme="majorHAnsi" w:eastAsia="Times New Roman" w:hAnsiTheme="majorHAnsi" w:cstheme="majorHAnsi"/>
          <w:sz w:val="24"/>
          <w:szCs w:val="24"/>
          <w:lang w:val="ro-MD" w:eastAsia="ru-RU"/>
        </w:rPr>
        <w:t>cumulului de funcții</w:t>
      </w:r>
      <w:r w:rsidR="00237087" w:rsidRPr="00921938">
        <w:rPr>
          <w:rStyle w:val="FootnoteReference"/>
          <w:rFonts w:asciiTheme="majorHAnsi" w:eastAsia="Times New Roman" w:hAnsiTheme="majorHAnsi" w:cstheme="majorHAnsi"/>
          <w:sz w:val="24"/>
          <w:szCs w:val="24"/>
          <w:lang w:val="ro-MD" w:eastAsia="ru-RU"/>
        </w:rPr>
        <w:footnoteReference w:id="19"/>
      </w:r>
      <w:r w:rsidR="003C781B" w:rsidRPr="00921938">
        <w:rPr>
          <w:rFonts w:asciiTheme="majorHAnsi" w:eastAsia="Times New Roman" w:hAnsiTheme="majorHAnsi" w:cstheme="majorHAnsi"/>
          <w:sz w:val="24"/>
          <w:szCs w:val="24"/>
          <w:lang w:val="ro-MD" w:eastAsia="ru-RU"/>
        </w:rPr>
        <w:t xml:space="preserve"> (204,5 mii lei</w:t>
      </w:r>
      <w:r w:rsidR="003C781B" w:rsidRPr="00921938">
        <w:rPr>
          <w:rStyle w:val="FootnoteReference"/>
          <w:rFonts w:asciiTheme="majorHAnsi" w:eastAsia="Times New Roman" w:hAnsiTheme="majorHAnsi" w:cstheme="majorHAnsi"/>
          <w:sz w:val="24"/>
          <w:szCs w:val="24"/>
          <w:lang w:val="ro-MD" w:eastAsia="ru-RU"/>
        </w:rPr>
        <w:footnoteReference w:id="20"/>
      </w:r>
      <w:r w:rsidR="003C781B" w:rsidRPr="00921938">
        <w:rPr>
          <w:rFonts w:asciiTheme="majorHAnsi" w:eastAsia="Times New Roman" w:hAnsiTheme="majorHAnsi" w:cstheme="majorHAnsi"/>
          <w:sz w:val="24"/>
          <w:szCs w:val="24"/>
          <w:lang w:val="ro-MD" w:eastAsia="ru-RU"/>
        </w:rPr>
        <w:t>) și a diferenței de salariu (9,6 mii lei</w:t>
      </w:r>
      <w:r w:rsidR="003C781B" w:rsidRPr="00921938">
        <w:rPr>
          <w:rStyle w:val="FootnoteReference"/>
          <w:rFonts w:asciiTheme="majorHAnsi" w:eastAsia="Times New Roman" w:hAnsiTheme="majorHAnsi" w:cstheme="majorHAnsi"/>
          <w:sz w:val="24"/>
          <w:szCs w:val="24"/>
          <w:lang w:val="ro-MD" w:eastAsia="ru-RU"/>
        </w:rPr>
        <w:footnoteReference w:id="21"/>
      </w:r>
      <w:r w:rsidR="003C781B" w:rsidRPr="00921938">
        <w:rPr>
          <w:rFonts w:asciiTheme="majorHAnsi" w:eastAsia="Times New Roman" w:hAnsiTheme="majorHAnsi" w:cstheme="majorHAnsi"/>
          <w:sz w:val="24"/>
          <w:szCs w:val="24"/>
          <w:lang w:val="ro-MD" w:eastAsia="ru-RU"/>
        </w:rPr>
        <w:t xml:space="preserve">) </w:t>
      </w:r>
      <w:r w:rsidR="003C781B" w:rsidRPr="00921938">
        <w:rPr>
          <w:rFonts w:asciiTheme="majorHAnsi" w:eastAsia="Times New Roman" w:hAnsiTheme="majorHAnsi" w:cstheme="majorHAnsi"/>
          <w:sz w:val="24"/>
          <w:szCs w:val="24"/>
          <w:lang w:val="ro-MD" w:eastAsia="ru-RU"/>
        </w:rPr>
        <w:lastRenderedPageBreak/>
        <w:t>angajaților din licee și școli sportive</w:t>
      </w:r>
      <w:r w:rsidR="00414134">
        <w:rPr>
          <w:rFonts w:asciiTheme="majorHAnsi" w:eastAsia="Times New Roman" w:hAnsiTheme="majorHAnsi" w:cstheme="majorHAnsi"/>
          <w:sz w:val="24"/>
          <w:szCs w:val="24"/>
          <w:lang w:val="ro-MD" w:eastAsia="ru-RU"/>
        </w:rPr>
        <w:t>,</w:t>
      </w:r>
      <w:r w:rsidR="003C781B" w:rsidRPr="00921938">
        <w:rPr>
          <w:rFonts w:asciiTheme="majorHAnsi" w:eastAsia="Times New Roman" w:hAnsiTheme="majorHAnsi" w:cstheme="majorHAnsi"/>
          <w:sz w:val="24"/>
          <w:szCs w:val="24"/>
          <w:lang w:val="ro-MD" w:eastAsia="ru-RU"/>
        </w:rPr>
        <w:t xml:space="preserve"> în valoare </w:t>
      </w:r>
      <w:r w:rsidR="006C5F46" w:rsidRPr="00921938">
        <w:rPr>
          <w:rFonts w:asciiTheme="majorHAnsi" w:eastAsia="Times New Roman" w:hAnsiTheme="majorHAnsi" w:cstheme="majorHAnsi"/>
          <w:sz w:val="24"/>
          <w:szCs w:val="24"/>
          <w:lang w:val="ro-MD" w:eastAsia="ru-RU"/>
        </w:rPr>
        <w:t xml:space="preserve">totală </w:t>
      </w:r>
      <w:r w:rsidR="003C781B" w:rsidRPr="00921938">
        <w:rPr>
          <w:rFonts w:asciiTheme="majorHAnsi" w:eastAsia="Times New Roman" w:hAnsiTheme="majorHAnsi" w:cstheme="majorHAnsi"/>
          <w:sz w:val="24"/>
          <w:szCs w:val="24"/>
          <w:lang w:val="ro-MD" w:eastAsia="ru-RU"/>
        </w:rPr>
        <w:t>de 224,0 mii lei</w:t>
      </w:r>
      <w:r w:rsidR="003C781B" w:rsidRPr="00921938">
        <w:rPr>
          <w:rStyle w:val="FootnoteReference"/>
          <w:rFonts w:asciiTheme="majorHAnsi" w:eastAsia="Times New Roman" w:hAnsiTheme="majorHAnsi" w:cstheme="majorHAnsi"/>
          <w:sz w:val="24"/>
          <w:szCs w:val="24"/>
          <w:lang w:val="ro-MD" w:eastAsia="ru-RU"/>
        </w:rPr>
        <w:footnoteReference w:id="22"/>
      </w:r>
      <w:r w:rsidR="003C781B" w:rsidRPr="00921938">
        <w:rPr>
          <w:rFonts w:asciiTheme="majorHAnsi" w:eastAsia="Times New Roman" w:hAnsiTheme="majorHAnsi" w:cstheme="majorHAnsi"/>
          <w:sz w:val="24"/>
          <w:szCs w:val="24"/>
          <w:lang w:val="ro-MD" w:eastAsia="ru-RU"/>
        </w:rPr>
        <w:t xml:space="preserve"> (cu contribuții)</w:t>
      </w:r>
      <w:r w:rsidR="00414134">
        <w:rPr>
          <w:rFonts w:asciiTheme="majorHAnsi" w:eastAsia="Times New Roman" w:hAnsiTheme="majorHAnsi" w:cstheme="majorHAnsi"/>
          <w:sz w:val="24"/>
          <w:szCs w:val="24"/>
          <w:lang w:val="ro-MD" w:eastAsia="ru-RU"/>
        </w:rPr>
        <w:t>,</w:t>
      </w:r>
      <w:r w:rsidR="003C781B" w:rsidRPr="00921938">
        <w:rPr>
          <w:rFonts w:asciiTheme="majorHAnsi" w:eastAsia="Times New Roman" w:hAnsiTheme="majorHAnsi" w:cstheme="majorHAnsi"/>
          <w:sz w:val="24"/>
          <w:szCs w:val="24"/>
          <w:lang w:val="ro-MD" w:eastAsia="ru-RU"/>
        </w:rPr>
        <w:t xml:space="preserve"> urmare a nerespectării prevederilor legale</w:t>
      </w:r>
      <w:r w:rsidR="003C781B" w:rsidRPr="00921938">
        <w:rPr>
          <w:rStyle w:val="FootnoteReference"/>
          <w:rFonts w:asciiTheme="majorHAnsi" w:eastAsia="Times New Roman" w:hAnsiTheme="majorHAnsi" w:cstheme="majorHAnsi"/>
          <w:sz w:val="24"/>
          <w:szCs w:val="24"/>
          <w:lang w:val="ro-MD" w:eastAsia="ru-RU"/>
        </w:rPr>
        <w:footnoteReference w:id="23"/>
      </w:r>
      <w:r w:rsidR="003C781B" w:rsidRPr="00921938">
        <w:rPr>
          <w:rFonts w:asciiTheme="majorHAnsi" w:eastAsia="Times New Roman" w:hAnsiTheme="majorHAnsi" w:cstheme="majorHAnsi"/>
          <w:sz w:val="24"/>
          <w:szCs w:val="24"/>
          <w:lang w:val="ro-MD" w:eastAsia="ru-RU"/>
        </w:rPr>
        <w:t>.</w:t>
      </w:r>
    </w:p>
    <w:p w14:paraId="1F19A1A5" w14:textId="77777777" w:rsidR="00872823" w:rsidRPr="00921938" w:rsidRDefault="00872823" w:rsidP="00325F1F">
      <w:pPr>
        <w:spacing w:after="0" w:line="276" w:lineRule="auto"/>
        <w:jc w:val="both"/>
        <w:rPr>
          <w:rFonts w:asciiTheme="majorHAnsi" w:hAnsiTheme="majorHAnsi" w:cstheme="majorHAnsi"/>
          <w:b/>
          <w:bCs/>
          <w:sz w:val="16"/>
          <w:szCs w:val="16"/>
          <w:lang w:val="ro-MD"/>
        </w:rPr>
      </w:pPr>
    </w:p>
    <w:p w14:paraId="52187256" w14:textId="673B8DAC" w:rsidR="00956640" w:rsidRPr="00921938" w:rsidRDefault="00956640" w:rsidP="00325F1F">
      <w:pPr>
        <w:spacing w:after="0" w:line="276" w:lineRule="auto"/>
        <w:rPr>
          <w:rFonts w:cstheme="minorHAnsi"/>
          <w:b/>
          <w:bCs/>
          <w:sz w:val="24"/>
          <w:szCs w:val="24"/>
          <w:lang w:val="ro-MD"/>
        </w:rPr>
      </w:pPr>
      <w:bookmarkStart w:id="4" w:name="_Toc520708135"/>
      <w:bookmarkStart w:id="5" w:name="_Toc527989153"/>
      <w:bookmarkStart w:id="6" w:name="_Toc528164110"/>
      <w:r w:rsidRPr="00921938">
        <w:rPr>
          <w:rFonts w:asciiTheme="majorHAnsi" w:hAnsiTheme="majorHAnsi" w:cstheme="majorHAnsi"/>
          <w:b/>
          <w:sz w:val="24"/>
          <w:szCs w:val="24"/>
          <w:lang w:val="ro-MD"/>
        </w:rPr>
        <w:t>V. BUNA GUVERNANȚĂ</w:t>
      </w:r>
    </w:p>
    <w:p w14:paraId="49360B2F" w14:textId="6FA4ADFD" w:rsidR="00A332A9" w:rsidRPr="00921938" w:rsidRDefault="00B06123" w:rsidP="00325F1F">
      <w:pPr>
        <w:pStyle w:val="Heading2"/>
        <w:spacing w:before="0" w:line="276" w:lineRule="auto"/>
        <w:ind w:firstLine="0"/>
        <w:rPr>
          <w:rFonts w:asciiTheme="majorHAnsi" w:hAnsiTheme="majorHAnsi" w:cstheme="majorHAnsi"/>
          <w:sz w:val="24"/>
          <w:szCs w:val="24"/>
          <w:lang w:val="ro-MD"/>
        </w:rPr>
      </w:pPr>
      <w:r w:rsidRPr="00921938">
        <w:rPr>
          <w:rFonts w:asciiTheme="majorHAnsi" w:hAnsiTheme="majorHAnsi" w:cstheme="majorHAnsi"/>
          <w:sz w:val="24"/>
          <w:szCs w:val="24"/>
          <w:lang w:val="ro-MD"/>
        </w:rPr>
        <w:t>5</w:t>
      </w:r>
      <w:r w:rsidR="00A332A9" w:rsidRPr="00921938">
        <w:rPr>
          <w:rFonts w:asciiTheme="majorHAnsi" w:hAnsiTheme="majorHAnsi" w:cstheme="majorHAnsi"/>
          <w:sz w:val="24"/>
          <w:szCs w:val="24"/>
          <w:lang w:val="ro-MD"/>
        </w:rPr>
        <w:t>.1. Recomandările anterioare ale Curții de Conturi au fost realizate la un nivel scăzut.</w:t>
      </w:r>
    </w:p>
    <w:p w14:paraId="36340FA2" w14:textId="6E1790B8" w:rsidR="006B2741" w:rsidRPr="00921938" w:rsidRDefault="00A332A9" w:rsidP="00325F1F">
      <w:pPr>
        <w:spacing w:after="0" w:line="276" w:lineRule="auto"/>
        <w:ind w:right="-31"/>
        <w:jc w:val="both"/>
        <w:rPr>
          <w:rFonts w:asciiTheme="majorHAnsi" w:hAnsiTheme="majorHAnsi" w:cstheme="majorHAnsi"/>
          <w:sz w:val="24"/>
          <w:szCs w:val="24"/>
          <w:lang w:val="ro-MD"/>
        </w:rPr>
      </w:pPr>
      <w:r w:rsidRPr="00921938">
        <w:rPr>
          <w:rFonts w:asciiTheme="majorHAnsi" w:hAnsiTheme="majorHAnsi" w:cstheme="majorHAnsi"/>
          <w:sz w:val="24"/>
          <w:szCs w:val="24"/>
          <w:lang w:val="ro-MD"/>
        </w:rPr>
        <w:t xml:space="preserve">Executarea de către MECC a recomandărilor </w:t>
      </w:r>
      <w:r w:rsidR="000B6145" w:rsidRPr="00921938">
        <w:rPr>
          <w:rFonts w:asciiTheme="majorHAnsi" w:hAnsiTheme="majorHAnsi" w:cstheme="majorHAnsi"/>
          <w:sz w:val="24"/>
          <w:szCs w:val="24"/>
          <w:lang w:val="ro-MD"/>
        </w:rPr>
        <w:t xml:space="preserve">înaintate prin HCC nr.48 din 31.05.2019 </w:t>
      </w:r>
      <w:r w:rsidRPr="00921938">
        <w:rPr>
          <w:rFonts w:asciiTheme="majorHAnsi" w:hAnsiTheme="majorHAnsi" w:cstheme="majorHAnsi"/>
          <w:sz w:val="24"/>
          <w:szCs w:val="24"/>
          <w:lang w:val="ro-MD"/>
        </w:rPr>
        <w:t>este la un nivel scăzut</w:t>
      </w:r>
      <w:r w:rsidR="000B6145" w:rsidRPr="00921938">
        <w:rPr>
          <w:rFonts w:asciiTheme="majorHAnsi" w:hAnsiTheme="majorHAnsi" w:cstheme="majorHAnsi"/>
          <w:sz w:val="24"/>
          <w:szCs w:val="24"/>
          <w:lang w:val="ro-MD"/>
        </w:rPr>
        <w:t xml:space="preserve"> (11,8%)</w:t>
      </w:r>
      <w:r w:rsidR="000E1771" w:rsidRPr="00921938">
        <w:rPr>
          <w:rFonts w:asciiTheme="majorHAnsi" w:hAnsiTheme="majorHAnsi" w:cstheme="majorHAnsi"/>
          <w:sz w:val="24"/>
          <w:szCs w:val="24"/>
          <w:lang w:val="ro-MD"/>
        </w:rPr>
        <w:t xml:space="preserve">, din cauza </w:t>
      </w:r>
      <w:r w:rsidR="00240E49" w:rsidRPr="00921938">
        <w:rPr>
          <w:rFonts w:asciiTheme="majorHAnsi" w:hAnsiTheme="majorHAnsi" w:cstheme="majorHAnsi"/>
          <w:sz w:val="24"/>
          <w:szCs w:val="24"/>
          <w:lang w:val="ro-MD"/>
        </w:rPr>
        <w:t xml:space="preserve">lipsei unui sistem de monitorizare a activităților de implementare a recomandărilor noastre, </w:t>
      </w:r>
      <w:r w:rsidR="00A813A9">
        <w:rPr>
          <w:rFonts w:asciiTheme="majorHAnsi" w:hAnsiTheme="majorHAnsi" w:cstheme="majorHAnsi"/>
          <w:sz w:val="24"/>
          <w:szCs w:val="24"/>
          <w:lang w:val="ro-MD"/>
        </w:rPr>
        <w:t>inclusiv</w:t>
      </w:r>
      <w:r w:rsidR="00891A48">
        <w:rPr>
          <w:rFonts w:asciiTheme="majorHAnsi" w:hAnsiTheme="majorHAnsi" w:cstheme="majorHAnsi"/>
          <w:sz w:val="24"/>
          <w:szCs w:val="24"/>
          <w:lang w:val="ro-MD"/>
        </w:rPr>
        <w:t xml:space="preserve"> din </w:t>
      </w:r>
      <w:r w:rsidR="00180DF9">
        <w:rPr>
          <w:rFonts w:asciiTheme="majorHAnsi" w:hAnsiTheme="majorHAnsi" w:cstheme="majorHAnsi"/>
          <w:sz w:val="24"/>
          <w:szCs w:val="24"/>
          <w:lang w:val="ro-MD"/>
        </w:rPr>
        <w:t xml:space="preserve">cauza </w:t>
      </w:r>
      <w:r w:rsidR="000E1771" w:rsidRPr="00921938">
        <w:rPr>
          <w:rFonts w:asciiTheme="majorHAnsi" w:hAnsiTheme="majorHAnsi" w:cstheme="majorHAnsi"/>
          <w:sz w:val="24"/>
          <w:szCs w:val="24"/>
          <w:lang w:val="ro-MD"/>
        </w:rPr>
        <w:t>capacitățil</w:t>
      </w:r>
      <w:r w:rsidR="00891A48">
        <w:rPr>
          <w:rFonts w:asciiTheme="majorHAnsi" w:hAnsiTheme="majorHAnsi" w:cstheme="majorHAnsi"/>
          <w:sz w:val="24"/>
          <w:szCs w:val="24"/>
          <w:lang w:val="ro-MD"/>
        </w:rPr>
        <w:t>or</w:t>
      </w:r>
      <w:r w:rsidR="000E1771" w:rsidRPr="00921938">
        <w:rPr>
          <w:rFonts w:asciiTheme="majorHAnsi" w:hAnsiTheme="majorHAnsi" w:cstheme="majorHAnsi"/>
          <w:sz w:val="24"/>
          <w:szCs w:val="24"/>
          <w:lang w:val="ro-MD"/>
        </w:rPr>
        <w:t xml:space="preserve"> instituționale reduse</w:t>
      </w:r>
      <w:r w:rsidR="0001423E" w:rsidRPr="00921938">
        <w:rPr>
          <w:rFonts w:asciiTheme="majorHAnsi" w:hAnsiTheme="majorHAnsi" w:cstheme="majorHAnsi"/>
          <w:sz w:val="24"/>
          <w:szCs w:val="24"/>
          <w:lang w:val="ro-MD"/>
        </w:rPr>
        <w:t>, în special al</w:t>
      </w:r>
      <w:r w:rsidR="00A813A9">
        <w:rPr>
          <w:rFonts w:asciiTheme="majorHAnsi" w:hAnsiTheme="majorHAnsi" w:cstheme="majorHAnsi"/>
          <w:sz w:val="24"/>
          <w:szCs w:val="24"/>
          <w:lang w:val="ro-MD"/>
        </w:rPr>
        <w:t>e</w:t>
      </w:r>
      <w:r w:rsidR="0001423E" w:rsidRPr="00921938">
        <w:rPr>
          <w:rFonts w:asciiTheme="majorHAnsi" w:hAnsiTheme="majorHAnsi" w:cstheme="majorHAnsi"/>
          <w:sz w:val="24"/>
          <w:szCs w:val="24"/>
          <w:lang w:val="ro-MD"/>
        </w:rPr>
        <w:t xml:space="preserve"> </w:t>
      </w:r>
      <w:r w:rsidR="0001423E" w:rsidRPr="00921938">
        <w:rPr>
          <w:rFonts w:asciiTheme="majorHAnsi" w:eastAsia="Times New Roman" w:hAnsiTheme="majorHAnsi" w:cstheme="majorHAnsi"/>
          <w:sz w:val="24"/>
          <w:szCs w:val="24"/>
          <w:lang w:val="ro-MD" w:eastAsia="ro-MD"/>
        </w:rPr>
        <w:t>subdiviziunilor financiar-administrativă</w:t>
      </w:r>
      <w:r w:rsidR="000E1771" w:rsidRPr="00921938">
        <w:rPr>
          <w:rFonts w:asciiTheme="majorHAnsi" w:hAnsiTheme="majorHAnsi" w:cstheme="majorHAnsi"/>
          <w:sz w:val="24"/>
          <w:szCs w:val="24"/>
          <w:lang w:val="ro-MD"/>
        </w:rPr>
        <w:t xml:space="preserve"> </w:t>
      </w:r>
      <w:r w:rsidR="0001423E" w:rsidRPr="00921938">
        <w:rPr>
          <w:rFonts w:asciiTheme="majorHAnsi" w:eastAsia="Times New Roman" w:hAnsiTheme="majorHAnsi" w:cstheme="majorHAnsi"/>
          <w:sz w:val="24"/>
          <w:szCs w:val="24"/>
          <w:lang w:val="ro-MD" w:eastAsia="ro-MD"/>
        </w:rPr>
        <w:t>(1</w:t>
      </w:r>
      <w:r w:rsidR="003464CA">
        <w:rPr>
          <w:rFonts w:asciiTheme="majorHAnsi" w:eastAsia="Times New Roman" w:hAnsiTheme="majorHAnsi" w:cstheme="majorHAnsi"/>
          <w:sz w:val="24"/>
          <w:szCs w:val="24"/>
          <w:lang w:val="ro-MD" w:eastAsia="ro-MD"/>
        </w:rPr>
        <w:t>4</w:t>
      </w:r>
      <w:r w:rsidR="0001423E" w:rsidRPr="00921938">
        <w:rPr>
          <w:rFonts w:asciiTheme="majorHAnsi" w:eastAsia="Times New Roman" w:hAnsiTheme="majorHAnsi" w:cstheme="majorHAnsi"/>
          <w:sz w:val="24"/>
          <w:szCs w:val="24"/>
          <w:lang w:val="ro-MD" w:eastAsia="ro-MD"/>
        </w:rPr>
        <w:t xml:space="preserve"> unități) </w:t>
      </w:r>
      <w:r w:rsidR="0001423E" w:rsidRPr="00921938">
        <w:rPr>
          <w:rFonts w:asciiTheme="majorHAnsi" w:hAnsiTheme="majorHAnsi" w:cstheme="majorHAnsi"/>
          <w:sz w:val="24"/>
          <w:szCs w:val="24"/>
          <w:lang w:val="ro-MD"/>
        </w:rPr>
        <w:t>și de audit intern (2 unități)</w:t>
      </w:r>
      <w:r w:rsidR="00240E49" w:rsidRPr="00921938">
        <w:rPr>
          <w:rFonts w:asciiTheme="majorHAnsi" w:hAnsiTheme="majorHAnsi" w:cstheme="majorHAnsi"/>
          <w:sz w:val="24"/>
          <w:szCs w:val="24"/>
          <w:lang w:val="ro-MD"/>
        </w:rPr>
        <w:t xml:space="preserve"> și</w:t>
      </w:r>
      <w:r w:rsidR="0001423E" w:rsidRPr="00921938">
        <w:rPr>
          <w:rFonts w:asciiTheme="majorHAnsi" w:hAnsiTheme="majorHAnsi" w:cstheme="majorHAnsi"/>
          <w:sz w:val="24"/>
          <w:szCs w:val="24"/>
          <w:lang w:val="ro-MD"/>
        </w:rPr>
        <w:t xml:space="preserve"> </w:t>
      </w:r>
      <w:r w:rsidR="000E1771" w:rsidRPr="00921938">
        <w:rPr>
          <w:rFonts w:asciiTheme="majorHAnsi" w:hAnsiTheme="majorHAnsi" w:cstheme="majorHAnsi"/>
          <w:sz w:val="24"/>
          <w:szCs w:val="24"/>
          <w:lang w:val="ro-MD"/>
        </w:rPr>
        <w:t>lipsei monitorizării activității entităților subord</w:t>
      </w:r>
      <w:r w:rsidR="006C5F46" w:rsidRPr="00921938">
        <w:rPr>
          <w:rFonts w:asciiTheme="majorHAnsi" w:hAnsiTheme="majorHAnsi" w:cstheme="majorHAnsi"/>
          <w:sz w:val="24"/>
          <w:szCs w:val="24"/>
          <w:lang w:val="ro-MD"/>
        </w:rPr>
        <w:t>o</w:t>
      </w:r>
      <w:r w:rsidR="00DE74E9" w:rsidRPr="00921938">
        <w:rPr>
          <w:rFonts w:asciiTheme="majorHAnsi" w:hAnsiTheme="majorHAnsi" w:cstheme="majorHAnsi"/>
          <w:sz w:val="24"/>
          <w:szCs w:val="24"/>
          <w:lang w:val="ro-MD"/>
        </w:rPr>
        <w:t xml:space="preserve">nate </w:t>
      </w:r>
      <w:r w:rsidR="0001423E" w:rsidRPr="00921938">
        <w:rPr>
          <w:rFonts w:asciiTheme="majorHAnsi" w:eastAsia="Times New Roman" w:hAnsiTheme="majorHAnsi" w:cstheme="majorHAnsi"/>
          <w:bCs/>
          <w:i/>
          <w:iCs/>
          <w:sz w:val="24"/>
          <w:szCs w:val="24"/>
          <w:lang w:val="ro-MD"/>
        </w:rPr>
        <w:t>(8</w:t>
      </w:r>
      <w:r w:rsidR="00240E49" w:rsidRPr="00921938">
        <w:rPr>
          <w:rFonts w:asciiTheme="majorHAnsi" w:eastAsia="Times New Roman" w:hAnsiTheme="majorHAnsi" w:cstheme="majorHAnsi"/>
          <w:bCs/>
          <w:i/>
          <w:iCs/>
          <w:sz w:val="24"/>
          <w:szCs w:val="24"/>
          <w:lang w:val="ro-MD"/>
        </w:rPr>
        <w:t>8</w:t>
      </w:r>
      <w:r w:rsidR="0001423E" w:rsidRPr="00921938">
        <w:rPr>
          <w:rFonts w:asciiTheme="majorHAnsi" w:eastAsia="Times New Roman" w:hAnsiTheme="majorHAnsi" w:cstheme="majorHAnsi"/>
          <w:bCs/>
          <w:i/>
          <w:iCs/>
          <w:sz w:val="24"/>
          <w:szCs w:val="24"/>
          <w:lang w:val="ro-MD"/>
        </w:rPr>
        <w:t xml:space="preserve"> </w:t>
      </w:r>
      <w:r w:rsidR="00A813A9">
        <w:rPr>
          <w:rFonts w:asciiTheme="majorHAnsi" w:eastAsia="Times New Roman" w:hAnsiTheme="majorHAnsi" w:cstheme="majorHAnsi"/>
          <w:bCs/>
          <w:i/>
          <w:iCs/>
          <w:sz w:val="24"/>
          <w:szCs w:val="24"/>
          <w:lang w:val="ro-MD"/>
        </w:rPr>
        <w:t xml:space="preserve">de </w:t>
      </w:r>
      <w:r w:rsidR="0001423E" w:rsidRPr="00921938">
        <w:rPr>
          <w:rFonts w:asciiTheme="majorHAnsi" w:eastAsia="Times New Roman" w:hAnsiTheme="majorHAnsi" w:cstheme="majorHAnsi"/>
          <w:bCs/>
          <w:i/>
          <w:iCs/>
          <w:sz w:val="24"/>
          <w:szCs w:val="24"/>
          <w:lang w:val="ro-MD"/>
        </w:rPr>
        <w:t xml:space="preserve">instituții </w:t>
      </w:r>
      <w:r w:rsidR="00DE74E9" w:rsidRPr="00921938">
        <w:rPr>
          <w:rFonts w:asciiTheme="majorHAnsi" w:eastAsia="Times New Roman" w:hAnsiTheme="majorHAnsi" w:cstheme="majorHAnsi"/>
          <w:bCs/>
          <w:i/>
          <w:iCs/>
          <w:sz w:val="24"/>
          <w:szCs w:val="24"/>
          <w:lang w:val="ro-MD"/>
        </w:rPr>
        <w:t>bugetare</w:t>
      </w:r>
      <w:r w:rsidR="0001423E" w:rsidRPr="00921938">
        <w:rPr>
          <w:rFonts w:asciiTheme="majorHAnsi" w:eastAsia="Times New Roman" w:hAnsiTheme="majorHAnsi" w:cstheme="majorHAnsi"/>
          <w:bCs/>
          <w:i/>
          <w:iCs/>
          <w:sz w:val="24"/>
          <w:szCs w:val="24"/>
          <w:lang w:val="ro-MD"/>
        </w:rPr>
        <w:t xml:space="preserve"> și 119 instituții la autogestiune)</w:t>
      </w:r>
      <w:r w:rsidRPr="00921938">
        <w:rPr>
          <w:rFonts w:asciiTheme="majorHAnsi" w:hAnsiTheme="majorHAnsi" w:cstheme="majorHAnsi"/>
          <w:sz w:val="24"/>
          <w:szCs w:val="24"/>
          <w:lang w:val="ro-MD"/>
        </w:rPr>
        <w:t>. Din 1</w:t>
      </w:r>
      <w:r w:rsidR="000B6145" w:rsidRPr="00921938">
        <w:rPr>
          <w:rFonts w:asciiTheme="majorHAnsi" w:hAnsiTheme="majorHAnsi" w:cstheme="majorHAnsi"/>
          <w:sz w:val="24"/>
          <w:szCs w:val="24"/>
          <w:lang w:val="ro-MD"/>
        </w:rPr>
        <w:t>7</w:t>
      </w:r>
      <w:r w:rsidRPr="00921938">
        <w:rPr>
          <w:rFonts w:asciiTheme="majorHAnsi" w:hAnsiTheme="majorHAnsi" w:cstheme="majorHAnsi"/>
          <w:sz w:val="24"/>
          <w:szCs w:val="24"/>
          <w:lang w:val="ro-MD"/>
        </w:rPr>
        <w:t xml:space="preserve"> recomandări înaintate</w:t>
      </w:r>
      <w:r w:rsidR="00A813A9">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au fost executate 2 recomandări, parțial executat</w:t>
      </w:r>
      <w:r w:rsidR="00280952" w:rsidRPr="00921938">
        <w:rPr>
          <w:rFonts w:asciiTheme="majorHAnsi" w:hAnsiTheme="majorHAnsi" w:cstheme="majorHAnsi"/>
          <w:sz w:val="24"/>
          <w:szCs w:val="24"/>
          <w:lang w:val="ro-MD"/>
        </w:rPr>
        <w:t>e</w:t>
      </w:r>
      <w:r w:rsidRPr="00921938">
        <w:rPr>
          <w:rFonts w:asciiTheme="majorHAnsi" w:hAnsiTheme="majorHAnsi" w:cstheme="majorHAnsi"/>
          <w:sz w:val="24"/>
          <w:szCs w:val="24"/>
          <w:lang w:val="ro-MD"/>
        </w:rPr>
        <w:t xml:space="preserve"> – </w:t>
      </w:r>
      <w:r w:rsidR="000B6145" w:rsidRPr="00921938">
        <w:rPr>
          <w:rFonts w:asciiTheme="majorHAnsi" w:hAnsiTheme="majorHAnsi" w:cstheme="majorHAnsi"/>
          <w:sz w:val="24"/>
          <w:szCs w:val="24"/>
          <w:lang w:val="ro-MD"/>
        </w:rPr>
        <w:t>3</w:t>
      </w:r>
      <w:r w:rsidR="00A813A9">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și neexecutate – 1</w:t>
      </w:r>
      <w:r w:rsidR="000B6145" w:rsidRPr="00921938">
        <w:rPr>
          <w:rFonts w:asciiTheme="majorHAnsi" w:hAnsiTheme="majorHAnsi" w:cstheme="majorHAnsi"/>
          <w:sz w:val="24"/>
          <w:szCs w:val="24"/>
          <w:lang w:val="ro-MD"/>
        </w:rPr>
        <w:t>2</w:t>
      </w:r>
      <w:r w:rsidRPr="00921938">
        <w:rPr>
          <w:rFonts w:asciiTheme="majorHAnsi" w:hAnsiTheme="majorHAnsi" w:cstheme="majorHAnsi"/>
          <w:sz w:val="24"/>
          <w:szCs w:val="24"/>
          <w:lang w:val="ro-MD"/>
        </w:rPr>
        <w:t>.</w:t>
      </w:r>
      <w:r w:rsidR="0069698D" w:rsidRPr="00921938">
        <w:rPr>
          <w:rFonts w:asciiTheme="majorHAnsi" w:hAnsiTheme="majorHAnsi" w:cstheme="majorHAnsi"/>
          <w:sz w:val="24"/>
          <w:szCs w:val="24"/>
          <w:lang w:val="ro-MD"/>
        </w:rPr>
        <w:t xml:space="preserve"> Prin urmare, </w:t>
      </w:r>
      <w:r w:rsidR="00280952" w:rsidRPr="00921938">
        <w:rPr>
          <w:rFonts w:asciiTheme="majorHAnsi" w:hAnsiTheme="majorHAnsi" w:cstheme="majorHAnsi"/>
          <w:sz w:val="24"/>
          <w:szCs w:val="24"/>
          <w:lang w:val="ro-MD"/>
        </w:rPr>
        <w:t>aceasta</w:t>
      </w:r>
      <w:r w:rsidR="0069698D" w:rsidRPr="00921938">
        <w:rPr>
          <w:rFonts w:asciiTheme="majorHAnsi" w:hAnsiTheme="majorHAnsi" w:cstheme="majorHAnsi"/>
          <w:sz w:val="24"/>
          <w:szCs w:val="24"/>
          <w:lang w:val="ro-MD"/>
        </w:rPr>
        <w:t xml:space="preserve"> a condiționat persistența unor aspecte care au influențat opinia noastră</w:t>
      </w:r>
      <w:r w:rsidR="00A813A9">
        <w:rPr>
          <w:rFonts w:asciiTheme="majorHAnsi" w:hAnsiTheme="majorHAnsi" w:cstheme="majorHAnsi"/>
          <w:sz w:val="24"/>
          <w:szCs w:val="24"/>
          <w:lang w:val="ro-MD"/>
        </w:rPr>
        <w:t xml:space="preserve"> și</w:t>
      </w:r>
      <w:r w:rsidR="00106EED" w:rsidRPr="00921938">
        <w:rPr>
          <w:rFonts w:asciiTheme="majorHAnsi" w:hAnsiTheme="majorHAnsi" w:cstheme="majorHAnsi"/>
          <w:sz w:val="24"/>
          <w:szCs w:val="24"/>
          <w:lang w:val="ro-MD"/>
        </w:rPr>
        <w:t xml:space="preserve"> asupra cărora </w:t>
      </w:r>
      <w:r w:rsidR="00240E49" w:rsidRPr="00921938">
        <w:rPr>
          <w:rFonts w:asciiTheme="majorHAnsi" w:hAnsiTheme="majorHAnsi" w:cstheme="majorHAnsi"/>
          <w:sz w:val="24"/>
          <w:szCs w:val="24"/>
          <w:lang w:val="ro-MD"/>
        </w:rPr>
        <w:t xml:space="preserve">este </w:t>
      </w:r>
      <w:r w:rsidR="00A813A9">
        <w:rPr>
          <w:rFonts w:asciiTheme="majorHAnsi" w:hAnsiTheme="majorHAnsi" w:cstheme="majorHAnsi"/>
          <w:sz w:val="24"/>
          <w:szCs w:val="24"/>
          <w:lang w:val="ro-MD"/>
        </w:rPr>
        <w:t>orientată în continuare</w:t>
      </w:r>
      <w:r w:rsidR="00A813A9" w:rsidRPr="00921938">
        <w:rPr>
          <w:rFonts w:asciiTheme="majorHAnsi" w:hAnsiTheme="majorHAnsi" w:cstheme="majorHAnsi"/>
          <w:sz w:val="24"/>
          <w:szCs w:val="24"/>
          <w:lang w:val="ro-MD"/>
        </w:rPr>
        <w:t xml:space="preserve"> </w:t>
      </w:r>
      <w:r w:rsidR="00106EED" w:rsidRPr="00921938">
        <w:rPr>
          <w:rFonts w:asciiTheme="majorHAnsi" w:hAnsiTheme="majorHAnsi" w:cstheme="majorHAnsi"/>
          <w:sz w:val="24"/>
          <w:szCs w:val="24"/>
          <w:lang w:val="ro-MD"/>
        </w:rPr>
        <w:t xml:space="preserve">atenția </w:t>
      </w:r>
      <w:r w:rsidR="00240E49" w:rsidRPr="00921938">
        <w:rPr>
          <w:rFonts w:asciiTheme="majorHAnsi" w:hAnsiTheme="majorHAnsi" w:cstheme="majorHAnsi"/>
          <w:sz w:val="24"/>
          <w:szCs w:val="24"/>
          <w:lang w:val="ro-MD"/>
        </w:rPr>
        <w:t>noastră</w:t>
      </w:r>
      <w:r w:rsidR="00106EED" w:rsidRPr="00921938">
        <w:rPr>
          <w:rFonts w:asciiTheme="majorHAnsi" w:hAnsiTheme="majorHAnsi" w:cstheme="majorHAnsi"/>
          <w:sz w:val="24"/>
          <w:szCs w:val="24"/>
          <w:lang w:val="ro-MD"/>
        </w:rPr>
        <w:t>.</w:t>
      </w:r>
    </w:p>
    <w:p w14:paraId="538BC10B" w14:textId="27ACC9CB" w:rsidR="00E13395" w:rsidRPr="00921938" w:rsidRDefault="00B06123" w:rsidP="00325F1F">
      <w:pPr>
        <w:spacing w:after="0" w:line="276" w:lineRule="auto"/>
        <w:jc w:val="both"/>
        <w:rPr>
          <w:rFonts w:asciiTheme="majorHAnsi" w:hAnsiTheme="majorHAnsi"/>
          <w:sz w:val="24"/>
          <w:szCs w:val="24"/>
          <w:lang w:val="ro-MD"/>
        </w:rPr>
      </w:pPr>
      <w:r w:rsidRPr="00921938">
        <w:rPr>
          <w:rFonts w:asciiTheme="majorHAnsi" w:hAnsiTheme="majorHAnsi"/>
          <w:b/>
          <w:bCs/>
          <w:sz w:val="24"/>
          <w:szCs w:val="24"/>
          <w:lang w:val="ro-MD"/>
        </w:rPr>
        <w:t>5</w:t>
      </w:r>
      <w:r w:rsidR="00A332A9" w:rsidRPr="00921938">
        <w:rPr>
          <w:rFonts w:asciiTheme="majorHAnsi" w:hAnsiTheme="majorHAnsi"/>
          <w:b/>
          <w:bCs/>
          <w:sz w:val="24"/>
          <w:szCs w:val="24"/>
          <w:lang w:val="ro-MD"/>
        </w:rPr>
        <w:t>.2.</w:t>
      </w:r>
      <w:r w:rsidR="00A332A9" w:rsidRPr="00921938">
        <w:rPr>
          <w:rFonts w:asciiTheme="majorHAnsi" w:hAnsiTheme="majorHAnsi"/>
          <w:sz w:val="24"/>
          <w:szCs w:val="24"/>
          <w:lang w:val="ro-MD"/>
        </w:rPr>
        <w:t xml:space="preserve"> </w:t>
      </w:r>
      <w:r w:rsidR="00A813A9">
        <w:rPr>
          <w:rFonts w:asciiTheme="majorHAnsi" w:eastAsia="Times New Roman" w:hAnsiTheme="majorHAnsi" w:cstheme="majorHAnsi"/>
          <w:b/>
          <w:iCs/>
          <w:sz w:val="24"/>
          <w:szCs w:val="24"/>
          <w:lang w:val="ro-MD"/>
        </w:rPr>
        <w:t>S</w:t>
      </w:r>
      <w:r w:rsidR="00E13395" w:rsidRPr="00921938">
        <w:rPr>
          <w:rFonts w:asciiTheme="majorHAnsi" w:eastAsia="Times New Roman" w:hAnsiTheme="majorHAnsi" w:cstheme="majorHAnsi"/>
          <w:b/>
          <w:sz w:val="24"/>
          <w:szCs w:val="24"/>
          <w:lang w:val="ro-MD"/>
        </w:rPr>
        <w:t>istemul de control intern</w:t>
      </w:r>
      <w:r w:rsidR="00BA3176" w:rsidRPr="00921938">
        <w:rPr>
          <w:rFonts w:asciiTheme="majorHAnsi" w:eastAsia="Times New Roman" w:hAnsiTheme="majorHAnsi" w:cstheme="majorHAnsi"/>
          <w:b/>
          <w:sz w:val="24"/>
          <w:szCs w:val="24"/>
          <w:lang w:val="ro-MD"/>
        </w:rPr>
        <w:t xml:space="preserve"> managerial</w:t>
      </w:r>
      <w:r w:rsidR="00E13395" w:rsidRPr="00921938">
        <w:rPr>
          <w:rFonts w:asciiTheme="majorHAnsi" w:eastAsia="Times New Roman" w:hAnsiTheme="majorHAnsi" w:cstheme="majorHAnsi"/>
          <w:b/>
          <w:sz w:val="24"/>
          <w:szCs w:val="24"/>
          <w:lang w:val="ro-MD"/>
        </w:rPr>
        <w:t xml:space="preserve"> </w:t>
      </w:r>
      <w:r w:rsidR="00E13395" w:rsidRPr="00921938">
        <w:rPr>
          <w:rFonts w:asciiTheme="majorHAnsi" w:hAnsiTheme="majorHAnsi" w:cstheme="majorHAnsi"/>
          <w:b/>
          <w:sz w:val="24"/>
          <w:szCs w:val="24"/>
          <w:lang w:val="ro-MD"/>
        </w:rPr>
        <w:t>instituit în cadrul MECC este unul redus și fragmentat</w:t>
      </w:r>
      <w:r w:rsidR="00E13395" w:rsidRPr="00921938">
        <w:rPr>
          <w:rFonts w:asciiTheme="majorHAnsi" w:eastAsia="Times New Roman" w:hAnsiTheme="majorHAnsi" w:cstheme="majorHAnsi"/>
          <w:b/>
          <w:sz w:val="24"/>
          <w:szCs w:val="24"/>
          <w:lang w:val="ro-MD" w:eastAsia="ro-MD"/>
        </w:rPr>
        <w:t>.</w:t>
      </w:r>
    </w:p>
    <w:p w14:paraId="692EE372" w14:textId="0E22D5E1" w:rsidR="007C716D" w:rsidRPr="00921938" w:rsidRDefault="00A813A9" w:rsidP="00325F1F">
      <w:pPr>
        <w:spacing w:after="0" w:line="276" w:lineRule="auto"/>
        <w:jc w:val="both"/>
        <w:rPr>
          <w:rFonts w:asciiTheme="majorHAnsi" w:hAnsiTheme="majorHAnsi" w:cstheme="majorHAnsi"/>
          <w:sz w:val="24"/>
          <w:szCs w:val="24"/>
          <w:lang w:val="ro-MD"/>
        </w:rPr>
      </w:pPr>
      <w:r w:rsidRPr="00BA41FB">
        <w:rPr>
          <w:rFonts w:asciiTheme="majorHAnsi" w:hAnsiTheme="majorHAnsi" w:cstheme="majorHAnsi"/>
          <w:sz w:val="24"/>
          <w:szCs w:val="24"/>
          <w:lang w:val="ro-MD"/>
        </w:rPr>
        <w:t xml:space="preserve">Un factor </w:t>
      </w:r>
      <w:r w:rsidRPr="00A813A9">
        <w:rPr>
          <w:rFonts w:asciiTheme="majorHAnsi" w:hAnsiTheme="majorHAnsi"/>
          <w:sz w:val="24"/>
          <w:szCs w:val="24"/>
          <w:lang w:val="ro-MD"/>
        </w:rPr>
        <w:t xml:space="preserve">generator de nereguli și denaturări ale situațiilor financiare este </w:t>
      </w:r>
      <w:r>
        <w:rPr>
          <w:rFonts w:asciiTheme="majorHAnsi" w:hAnsiTheme="majorHAnsi"/>
          <w:sz w:val="24"/>
          <w:szCs w:val="24"/>
          <w:lang w:val="ro-MD"/>
        </w:rPr>
        <w:t>s</w:t>
      </w:r>
      <w:r w:rsidRPr="00BA41FB">
        <w:rPr>
          <w:rFonts w:asciiTheme="majorHAnsi" w:eastAsia="Times New Roman" w:hAnsiTheme="majorHAnsi" w:cstheme="majorHAnsi"/>
          <w:sz w:val="24"/>
          <w:szCs w:val="24"/>
          <w:lang w:val="ro-MD"/>
        </w:rPr>
        <w:t xml:space="preserve">istemul de control intern managerial </w:t>
      </w:r>
      <w:r w:rsidR="002125E2">
        <w:rPr>
          <w:rFonts w:asciiTheme="majorHAnsi" w:eastAsia="Times New Roman" w:hAnsiTheme="majorHAnsi" w:cstheme="majorHAnsi"/>
          <w:sz w:val="24"/>
          <w:szCs w:val="24"/>
          <w:lang w:val="ro-MD"/>
        </w:rPr>
        <w:t>din</w:t>
      </w:r>
      <w:r w:rsidRPr="00BA41FB">
        <w:rPr>
          <w:rFonts w:asciiTheme="majorHAnsi" w:hAnsiTheme="majorHAnsi" w:cstheme="majorHAnsi"/>
          <w:sz w:val="24"/>
          <w:szCs w:val="24"/>
          <w:lang w:val="ro-MD"/>
        </w:rPr>
        <w:t xml:space="preserve"> cadrul MECC</w:t>
      </w:r>
      <w:r>
        <w:rPr>
          <w:rFonts w:asciiTheme="majorHAnsi" w:hAnsiTheme="majorHAnsi" w:cstheme="majorHAnsi"/>
          <w:sz w:val="24"/>
          <w:szCs w:val="24"/>
          <w:lang w:val="ro-MD"/>
        </w:rPr>
        <w:t xml:space="preserve">. </w:t>
      </w:r>
      <w:r w:rsidR="000E1771" w:rsidRPr="00A813A9">
        <w:rPr>
          <w:rFonts w:asciiTheme="majorHAnsi" w:hAnsiTheme="majorHAnsi"/>
          <w:sz w:val="24"/>
          <w:szCs w:val="24"/>
          <w:lang w:val="ro-MD"/>
        </w:rPr>
        <w:t>C</w:t>
      </w:r>
      <w:r w:rsidR="007C716D" w:rsidRPr="00A813A9">
        <w:rPr>
          <w:rFonts w:asciiTheme="majorHAnsi" w:hAnsiTheme="majorHAnsi"/>
          <w:sz w:val="24"/>
          <w:szCs w:val="24"/>
          <w:lang w:val="ro-MD"/>
        </w:rPr>
        <w:t>ontrolul</w:t>
      </w:r>
      <w:r w:rsidR="007C716D" w:rsidRPr="00921938">
        <w:rPr>
          <w:rFonts w:asciiTheme="majorHAnsi" w:hAnsiTheme="majorHAnsi"/>
          <w:sz w:val="24"/>
          <w:szCs w:val="24"/>
          <w:lang w:val="ro-MD"/>
        </w:rPr>
        <w:t xml:space="preserve"> intern managerial </w:t>
      </w:r>
      <w:r w:rsidR="001C5122" w:rsidRPr="00921938">
        <w:rPr>
          <w:rFonts w:asciiTheme="majorHAnsi" w:hAnsiTheme="majorHAnsi"/>
          <w:sz w:val="24"/>
          <w:szCs w:val="24"/>
          <w:lang w:val="ro-MD"/>
        </w:rPr>
        <w:t xml:space="preserve">(în continuare </w:t>
      </w:r>
      <w:r>
        <w:rPr>
          <w:rFonts w:asciiTheme="majorHAnsi" w:hAnsiTheme="majorHAnsi"/>
          <w:sz w:val="24"/>
          <w:szCs w:val="24"/>
          <w:lang w:val="ro-MD"/>
        </w:rPr>
        <w:t>–</w:t>
      </w:r>
      <w:r w:rsidR="00853D5E" w:rsidRPr="00921938">
        <w:rPr>
          <w:rFonts w:asciiTheme="majorHAnsi" w:hAnsiTheme="majorHAnsi"/>
          <w:sz w:val="24"/>
          <w:szCs w:val="24"/>
          <w:lang w:val="ro-MD"/>
        </w:rPr>
        <w:t xml:space="preserve"> </w:t>
      </w:r>
      <w:r w:rsidR="001C5122" w:rsidRPr="00921938">
        <w:rPr>
          <w:rFonts w:asciiTheme="majorHAnsi" w:hAnsiTheme="majorHAnsi"/>
          <w:sz w:val="24"/>
          <w:szCs w:val="24"/>
          <w:lang w:val="ro-MD"/>
        </w:rPr>
        <w:t xml:space="preserve">CIM) </w:t>
      </w:r>
      <w:r w:rsidR="007C716D" w:rsidRPr="00921938">
        <w:rPr>
          <w:rFonts w:asciiTheme="majorHAnsi" w:hAnsiTheme="majorHAnsi"/>
          <w:sz w:val="24"/>
          <w:szCs w:val="24"/>
          <w:lang w:val="ro-MD"/>
        </w:rPr>
        <w:t xml:space="preserve">nu a </w:t>
      </w:r>
      <w:r w:rsidR="007C716D" w:rsidRPr="00921938">
        <w:rPr>
          <w:rFonts w:asciiTheme="majorHAnsi" w:hAnsiTheme="majorHAnsi" w:cstheme="majorHAnsi"/>
          <w:sz w:val="24"/>
          <w:szCs w:val="24"/>
          <w:lang w:val="ro-MD"/>
        </w:rPr>
        <w:t>asigurat efectuarea autoevaluării sistemului propriu-zis în termenul stabilit de cadrul regulator</w:t>
      </w:r>
      <w:r w:rsidR="007C716D" w:rsidRPr="00921938">
        <w:rPr>
          <w:rStyle w:val="FootnoteReference"/>
          <w:rFonts w:asciiTheme="majorHAnsi" w:hAnsiTheme="majorHAnsi" w:cstheme="majorHAnsi"/>
          <w:sz w:val="24"/>
          <w:szCs w:val="24"/>
          <w:lang w:val="ro-MD"/>
        </w:rPr>
        <w:footnoteReference w:id="24"/>
      </w:r>
      <w:r w:rsidR="007C716D" w:rsidRPr="00921938">
        <w:rPr>
          <w:rFonts w:asciiTheme="majorHAnsi" w:hAnsiTheme="majorHAnsi" w:cstheme="majorHAnsi"/>
          <w:sz w:val="24"/>
          <w:szCs w:val="24"/>
          <w:lang w:val="ro-MD"/>
        </w:rPr>
        <w:t xml:space="preserve">, </w:t>
      </w:r>
      <w:r w:rsidR="002125E2">
        <w:rPr>
          <w:rFonts w:asciiTheme="majorHAnsi" w:hAnsiTheme="majorHAnsi" w:cstheme="majorHAnsi"/>
          <w:sz w:val="24"/>
          <w:szCs w:val="24"/>
          <w:lang w:val="ro-MD"/>
        </w:rPr>
        <w:t>ceea ce</w:t>
      </w:r>
      <w:r w:rsidR="007C716D" w:rsidRPr="00921938">
        <w:rPr>
          <w:rFonts w:asciiTheme="majorHAnsi" w:hAnsiTheme="majorHAnsi" w:cstheme="majorHAnsi"/>
          <w:sz w:val="24"/>
          <w:szCs w:val="24"/>
          <w:lang w:val="ro-MD"/>
        </w:rPr>
        <w:t xml:space="preserve"> a condiționat emiterea tardivă a Declarației de răspundere managerială pe anul 2019</w:t>
      </w:r>
      <w:r w:rsidR="007C716D" w:rsidRPr="00921938">
        <w:rPr>
          <w:rStyle w:val="FootnoteReference"/>
          <w:rFonts w:asciiTheme="majorHAnsi" w:hAnsiTheme="majorHAnsi" w:cstheme="majorHAnsi"/>
          <w:sz w:val="24"/>
          <w:szCs w:val="24"/>
          <w:lang w:val="ro-MD"/>
        </w:rPr>
        <w:footnoteReference w:id="25"/>
      </w:r>
      <w:r w:rsidR="007C716D" w:rsidRPr="00921938">
        <w:rPr>
          <w:rFonts w:asciiTheme="majorHAnsi" w:hAnsiTheme="majorHAnsi" w:cstheme="majorHAnsi"/>
          <w:sz w:val="24"/>
          <w:szCs w:val="24"/>
          <w:lang w:val="ro-MD"/>
        </w:rPr>
        <w:t xml:space="preserve">, </w:t>
      </w:r>
      <w:r w:rsidR="00853D5E" w:rsidRPr="00921938">
        <w:rPr>
          <w:rFonts w:asciiTheme="majorHAnsi" w:hAnsiTheme="majorHAnsi" w:cstheme="majorHAnsi"/>
          <w:sz w:val="24"/>
          <w:szCs w:val="24"/>
          <w:lang w:val="ro-MD"/>
        </w:rPr>
        <w:t xml:space="preserve">precum și </w:t>
      </w:r>
      <w:r w:rsidR="007C716D" w:rsidRPr="00921938">
        <w:rPr>
          <w:rFonts w:asciiTheme="majorHAnsi" w:hAnsiTheme="majorHAnsi" w:cstheme="majorHAnsi"/>
          <w:sz w:val="24"/>
          <w:szCs w:val="24"/>
          <w:lang w:val="ro-MD"/>
        </w:rPr>
        <w:t>a Raportului anual consolidat privind controlul intern managerial.</w:t>
      </w:r>
    </w:p>
    <w:p w14:paraId="4A1D0486" w14:textId="1CB5B167" w:rsidR="00185952" w:rsidRPr="00921938" w:rsidRDefault="00185952" w:rsidP="00325F1F">
      <w:pPr>
        <w:tabs>
          <w:tab w:val="left" w:pos="993"/>
        </w:tabs>
        <w:spacing w:after="0" w:line="276" w:lineRule="auto"/>
        <w:jc w:val="both"/>
        <w:rPr>
          <w:rFonts w:asciiTheme="majorHAnsi" w:hAnsiTheme="majorHAnsi" w:cstheme="majorHAnsi"/>
          <w:sz w:val="24"/>
          <w:szCs w:val="24"/>
          <w:lang w:val="ro-MD"/>
        </w:rPr>
      </w:pPr>
      <w:r w:rsidRPr="00921938">
        <w:rPr>
          <w:rFonts w:asciiTheme="majorHAnsi" w:hAnsiTheme="majorHAnsi" w:cstheme="majorHAnsi"/>
          <w:sz w:val="24"/>
          <w:szCs w:val="24"/>
          <w:lang w:val="ro-MD"/>
        </w:rPr>
        <w:t xml:space="preserve">Evaluarea preliminară a CIM </w:t>
      </w:r>
      <w:r w:rsidR="001C5122" w:rsidRPr="00921938">
        <w:rPr>
          <w:rFonts w:asciiTheme="majorHAnsi" w:hAnsiTheme="majorHAnsi" w:cstheme="majorHAnsi"/>
          <w:sz w:val="24"/>
          <w:szCs w:val="24"/>
          <w:lang w:val="ro-MD"/>
        </w:rPr>
        <w:t>denotă</w:t>
      </w:r>
      <w:r w:rsidRPr="00921938">
        <w:rPr>
          <w:rFonts w:asciiTheme="majorHAnsi" w:hAnsiTheme="majorHAnsi" w:cstheme="majorHAnsi"/>
          <w:sz w:val="24"/>
          <w:szCs w:val="24"/>
          <w:lang w:val="ro-MD"/>
        </w:rPr>
        <w:t xml:space="preserve"> că mediul de control este </w:t>
      </w:r>
      <w:r w:rsidR="001C5122" w:rsidRPr="00921938">
        <w:rPr>
          <w:rFonts w:asciiTheme="majorHAnsi" w:hAnsiTheme="majorHAnsi" w:cstheme="majorHAnsi"/>
          <w:sz w:val="24"/>
          <w:szCs w:val="24"/>
          <w:lang w:val="ro-MD"/>
        </w:rPr>
        <w:t xml:space="preserve">unul </w:t>
      </w:r>
      <w:r w:rsidRPr="00921938">
        <w:rPr>
          <w:rFonts w:asciiTheme="majorHAnsi" w:hAnsiTheme="majorHAnsi" w:cstheme="majorHAnsi"/>
          <w:sz w:val="24"/>
          <w:szCs w:val="24"/>
          <w:lang w:val="ro-MD"/>
        </w:rPr>
        <w:t>ineficient,</w:t>
      </w:r>
      <w:r w:rsidR="001E64C8" w:rsidRPr="00921938">
        <w:rPr>
          <w:rFonts w:asciiTheme="majorHAnsi" w:hAnsiTheme="majorHAnsi" w:cstheme="majorHAnsi"/>
          <w:sz w:val="24"/>
          <w:szCs w:val="24"/>
          <w:lang w:val="ro-MD"/>
        </w:rPr>
        <w:t xml:space="preserve"> fapt confirmat </w:t>
      </w:r>
      <w:r w:rsidR="002125E2">
        <w:rPr>
          <w:rFonts w:asciiTheme="majorHAnsi" w:hAnsiTheme="majorHAnsi" w:cstheme="majorHAnsi"/>
          <w:sz w:val="24"/>
          <w:szCs w:val="24"/>
          <w:lang w:val="ro-MD"/>
        </w:rPr>
        <w:t>de</w:t>
      </w:r>
      <w:r w:rsidR="001E64C8" w:rsidRPr="00921938">
        <w:rPr>
          <w:rFonts w:asciiTheme="majorHAnsi" w:hAnsiTheme="majorHAnsi" w:cstheme="majorHAnsi"/>
          <w:sz w:val="24"/>
          <w:szCs w:val="24"/>
          <w:lang w:val="ro-MD"/>
        </w:rPr>
        <w:t xml:space="preserve">: </w:t>
      </w:r>
      <w:r w:rsidR="001E64C8" w:rsidRPr="00921938">
        <w:rPr>
          <w:rFonts w:asciiTheme="majorHAnsi" w:eastAsia="Times New Roman" w:hAnsiTheme="majorHAnsi" w:cstheme="majorHAnsi"/>
          <w:sz w:val="24"/>
          <w:szCs w:val="24"/>
          <w:lang w:val="ro-MD" w:eastAsia="ro-MD"/>
        </w:rPr>
        <w:t>neconstituirea grupurilor de lucru; neidentificarea și neinițierea descrierii proceselor operaționale; nedefinirea și nedescrierea unor proceduri</w:t>
      </w:r>
      <w:r w:rsidR="00DE3AE2">
        <w:rPr>
          <w:rFonts w:asciiTheme="majorHAnsi" w:eastAsia="Times New Roman" w:hAnsiTheme="majorHAnsi" w:cstheme="majorHAnsi"/>
          <w:sz w:val="24"/>
          <w:szCs w:val="24"/>
          <w:lang w:val="ro-MD" w:eastAsia="ro-MD"/>
        </w:rPr>
        <w:t xml:space="preserve"> și</w:t>
      </w:r>
      <w:r w:rsidR="001E64C8" w:rsidRPr="00921938">
        <w:rPr>
          <w:rFonts w:asciiTheme="majorHAnsi" w:eastAsia="Times New Roman" w:hAnsiTheme="majorHAnsi" w:cstheme="majorHAnsi"/>
          <w:sz w:val="24"/>
          <w:szCs w:val="24"/>
          <w:lang w:val="ro-MD" w:eastAsia="ro-MD"/>
        </w:rPr>
        <w:t xml:space="preserve"> acțiuni de control; lipsa procedurilor formalizate, inclusiv a proceselor descrise ale activităților respective; nedesfășurarea activităților privind evaluarea și monitorizarea riscurilor etc. </w:t>
      </w:r>
    </w:p>
    <w:p w14:paraId="0CDC67FE" w14:textId="5AF2F082" w:rsidR="00622023" w:rsidRPr="00921938" w:rsidRDefault="00050210" w:rsidP="00325F1F">
      <w:pPr>
        <w:tabs>
          <w:tab w:val="left" w:pos="993"/>
        </w:tabs>
        <w:spacing w:after="0" w:line="276" w:lineRule="auto"/>
        <w:jc w:val="both"/>
        <w:rPr>
          <w:rFonts w:asciiTheme="majorHAnsi" w:hAnsiTheme="majorHAnsi" w:cstheme="majorHAnsi"/>
          <w:sz w:val="24"/>
          <w:szCs w:val="24"/>
          <w:lang w:val="ro-MD" w:eastAsia="ro-MD"/>
        </w:rPr>
      </w:pPr>
      <w:r w:rsidRPr="00921938">
        <w:rPr>
          <w:rFonts w:asciiTheme="majorHAnsi" w:hAnsiTheme="majorHAnsi" w:cstheme="majorHAnsi"/>
          <w:sz w:val="24"/>
          <w:szCs w:val="24"/>
          <w:lang w:val="ro-MD" w:eastAsia="ro-MD"/>
        </w:rPr>
        <w:t xml:space="preserve">Această situație are ca </w:t>
      </w:r>
      <w:r w:rsidR="002125E2">
        <w:rPr>
          <w:rFonts w:asciiTheme="majorHAnsi" w:hAnsiTheme="majorHAnsi" w:cstheme="majorHAnsi"/>
          <w:sz w:val="24"/>
          <w:szCs w:val="24"/>
          <w:lang w:val="ro-MD" w:eastAsia="ro-MD"/>
        </w:rPr>
        <w:t xml:space="preserve">impact </w:t>
      </w:r>
      <w:r w:rsidRPr="00921938">
        <w:rPr>
          <w:rFonts w:asciiTheme="majorHAnsi" w:hAnsiTheme="majorHAnsi" w:cstheme="majorHAnsi"/>
          <w:sz w:val="24"/>
          <w:szCs w:val="24"/>
          <w:lang w:val="ro-MD" w:eastAsia="ro-MD"/>
        </w:rPr>
        <w:t xml:space="preserve">o evidență contabilă deficitară, </w:t>
      </w:r>
      <w:r w:rsidR="002125E2">
        <w:rPr>
          <w:rFonts w:asciiTheme="majorHAnsi" w:hAnsiTheme="majorHAnsi" w:cstheme="majorHAnsi"/>
          <w:sz w:val="24"/>
          <w:szCs w:val="24"/>
          <w:lang w:val="ro-MD" w:eastAsia="ro-MD"/>
        </w:rPr>
        <w:t xml:space="preserve">ale cărei </w:t>
      </w:r>
      <w:r w:rsidRPr="00921938">
        <w:rPr>
          <w:rFonts w:asciiTheme="majorHAnsi" w:hAnsiTheme="majorHAnsi" w:cstheme="majorHAnsi"/>
          <w:sz w:val="24"/>
          <w:szCs w:val="24"/>
          <w:lang w:val="ro-MD" w:eastAsia="ro-MD"/>
        </w:rPr>
        <w:t xml:space="preserve">rezultatesunt </w:t>
      </w:r>
      <w:r w:rsidR="005954C9" w:rsidRPr="00921938">
        <w:rPr>
          <w:rFonts w:asciiTheme="majorHAnsi" w:hAnsiTheme="majorHAnsi" w:cstheme="majorHAnsi"/>
          <w:sz w:val="24"/>
          <w:szCs w:val="24"/>
          <w:lang w:val="ro-MD" w:eastAsia="ro-MD"/>
        </w:rPr>
        <w:t xml:space="preserve">reflectate în </w:t>
      </w:r>
      <w:r w:rsidRPr="00921938">
        <w:rPr>
          <w:rFonts w:asciiTheme="majorHAnsi" w:hAnsiTheme="majorHAnsi" w:cstheme="majorHAnsi"/>
          <w:sz w:val="24"/>
          <w:szCs w:val="24"/>
          <w:lang w:val="ro-MD" w:eastAsia="ro-MD"/>
        </w:rPr>
        <w:t xml:space="preserve">constatările din </w:t>
      </w:r>
      <w:r w:rsidRPr="00BA41FB">
        <w:rPr>
          <w:rFonts w:asciiTheme="majorHAnsi" w:hAnsiTheme="majorHAnsi" w:cstheme="majorHAnsi"/>
          <w:i/>
          <w:sz w:val="24"/>
          <w:szCs w:val="24"/>
          <w:lang w:val="ro-MD" w:eastAsia="ro-MD"/>
        </w:rPr>
        <w:t>Baza pentru opinia contrară</w:t>
      </w:r>
      <w:r w:rsidRPr="00921938">
        <w:rPr>
          <w:rFonts w:asciiTheme="majorHAnsi" w:hAnsiTheme="majorHAnsi" w:cstheme="majorHAnsi"/>
          <w:sz w:val="24"/>
          <w:szCs w:val="24"/>
          <w:lang w:val="ro-MD" w:eastAsia="ro-MD"/>
        </w:rPr>
        <w:t xml:space="preserve"> și </w:t>
      </w:r>
      <w:r w:rsidR="005954C9" w:rsidRPr="00921938">
        <w:rPr>
          <w:rFonts w:asciiTheme="majorHAnsi" w:hAnsiTheme="majorHAnsi" w:cstheme="majorHAnsi"/>
          <w:sz w:val="24"/>
          <w:szCs w:val="24"/>
          <w:lang w:val="ro-MD" w:eastAsia="ro-MD"/>
        </w:rPr>
        <w:t>di</w:t>
      </w:r>
      <w:r w:rsidRPr="00921938">
        <w:rPr>
          <w:rFonts w:asciiTheme="majorHAnsi" w:hAnsiTheme="majorHAnsi" w:cstheme="majorHAnsi"/>
          <w:sz w:val="24"/>
          <w:szCs w:val="24"/>
          <w:lang w:val="ro-MD" w:eastAsia="ro-MD"/>
        </w:rPr>
        <w:t xml:space="preserve">n alte secțiuni </w:t>
      </w:r>
      <w:r w:rsidR="005954C9" w:rsidRPr="00921938">
        <w:rPr>
          <w:rFonts w:asciiTheme="majorHAnsi" w:hAnsiTheme="majorHAnsi" w:cstheme="majorHAnsi"/>
          <w:sz w:val="24"/>
          <w:szCs w:val="24"/>
          <w:lang w:val="ro-MD" w:eastAsia="ro-MD"/>
        </w:rPr>
        <w:t>ale</w:t>
      </w:r>
      <w:r w:rsidRPr="00921938">
        <w:rPr>
          <w:rFonts w:asciiTheme="majorHAnsi" w:hAnsiTheme="majorHAnsi" w:cstheme="majorHAnsi"/>
          <w:sz w:val="24"/>
          <w:szCs w:val="24"/>
          <w:lang w:val="ro-MD" w:eastAsia="ro-MD"/>
        </w:rPr>
        <w:t xml:space="preserve"> acest</w:t>
      </w:r>
      <w:r w:rsidR="005954C9" w:rsidRPr="00921938">
        <w:rPr>
          <w:rFonts w:asciiTheme="majorHAnsi" w:hAnsiTheme="majorHAnsi" w:cstheme="majorHAnsi"/>
          <w:sz w:val="24"/>
          <w:szCs w:val="24"/>
          <w:lang w:val="ro-MD" w:eastAsia="ro-MD"/>
        </w:rPr>
        <w:t>ui</w:t>
      </w:r>
      <w:r w:rsidRPr="00921938">
        <w:rPr>
          <w:rFonts w:asciiTheme="majorHAnsi" w:hAnsiTheme="majorHAnsi" w:cstheme="majorHAnsi"/>
          <w:sz w:val="24"/>
          <w:szCs w:val="24"/>
          <w:lang w:val="ro-MD" w:eastAsia="ro-MD"/>
        </w:rPr>
        <w:t xml:space="preserve"> Raport. </w:t>
      </w:r>
    </w:p>
    <w:p w14:paraId="157989F3" w14:textId="69E40C18" w:rsidR="00C61CBD" w:rsidRPr="00921938" w:rsidRDefault="00B06123" w:rsidP="00325F1F">
      <w:pPr>
        <w:spacing w:after="0" w:line="276" w:lineRule="auto"/>
        <w:ind w:right="-47"/>
        <w:jc w:val="both"/>
        <w:rPr>
          <w:rFonts w:asciiTheme="majorHAnsi" w:eastAsia="Times New Roman" w:hAnsiTheme="majorHAnsi" w:cstheme="majorHAnsi"/>
          <w:bCs/>
          <w:i/>
          <w:iCs/>
          <w:sz w:val="24"/>
          <w:szCs w:val="24"/>
          <w:lang w:val="ro-MD"/>
        </w:rPr>
      </w:pPr>
      <w:r w:rsidRPr="00921938">
        <w:rPr>
          <w:rFonts w:asciiTheme="majorHAnsi" w:hAnsiTheme="majorHAnsi" w:cstheme="majorHAnsi"/>
          <w:b/>
          <w:bCs/>
          <w:sz w:val="24"/>
          <w:szCs w:val="24"/>
          <w:lang w:val="ro-MD" w:eastAsia="ro-MD"/>
        </w:rPr>
        <w:t>5</w:t>
      </w:r>
      <w:r w:rsidR="00E90772" w:rsidRPr="00921938">
        <w:rPr>
          <w:rFonts w:asciiTheme="majorHAnsi" w:hAnsiTheme="majorHAnsi" w:cstheme="majorHAnsi"/>
          <w:b/>
          <w:bCs/>
          <w:sz w:val="24"/>
          <w:szCs w:val="24"/>
          <w:lang w:val="ro-MD" w:eastAsia="ro-MD"/>
        </w:rPr>
        <w:t xml:space="preserve">.3. </w:t>
      </w:r>
      <w:r w:rsidR="0070437A" w:rsidRPr="00921938">
        <w:rPr>
          <w:rFonts w:asciiTheme="majorHAnsi" w:hAnsiTheme="majorHAnsi" w:cstheme="majorHAnsi"/>
          <w:b/>
          <w:sz w:val="24"/>
          <w:szCs w:val="24"/>
          <w:lang w:val="ro-MD"/>
        </w:rPr>
        <w:t>Auditul intern</w:t>
      </w:r>
      <w:r w:rsidR="0070437A" w:rsidRPr="00921938">
        <w:rPr>
          <w:rFonts w:asciiTheme="majorHAnsi" w:hAnsiTheme="majorHAnsi" w:cstheme="majorHAnsi"/>
          <w:sz w:val="24"/>
          <w:szCs w:val="24"/>
          <w:lang w:val="ro-MD"/>
        </w:rPr>
        <w:t xml:space="preserve"> este implementat și funcționează în cadrul structurii administrative centrale a Ministerului. </w:t>
      </w:r>
      <w:r w:rsidR="00853D5E" w:rsidRPr="00BA41FB">
        <w:rPr>
          <w:rFonts w:asciiTheme="majorHAnsi" w:hAnsiTheme="majorHAnsi" w:cstheme="majorHAnsi"/>
          <w:sz w:val="24"/>
          <w:szCs w:val="24"/>
          <w:lang w:val="ro-MD"/>
        </w:rPr>
        <w:t>Însă</w:t>
      </w:r>
      <w:r w:rsidR="00AB7295" w:rsidRPr="00BA41FB">
        <w:rPr>
          <w:rFonts w:asciiTheme="majorHAnsi" w:hAnsiTheme="majorHAnsi" w:cstheme="majorHAnsi"/>
          <w:sz w:val="24"/>
          <w:szCs w:val="24"/>
          <w:lang w:val="ro-MD"/>
        </w:rPr>
        <w:t>,</w:t>
      </w:r>
      <w:r w:rsidR="00853D5E" w:rsidRPr="00921938">
        <w:rPr>
          <w:rFonts w:asciiTheme="majorHAnsi" w:hAnsiTheme="majorHAnsi" w:cstheme="majorHAnsi"/>
          <w:sz w:val="24"/>
          <w:szCs w:val="24"/>
          <w:lang w:val="ro-MD"/>
        </w:rPr>
        <w:t xml:space="preserve"> s</w:t>
      </w:r>
      <w:r w:rsidR="0070437A" w:rsidRPr="00921938">
        <w:rPr>
          <w:rFonts w:asciiTheme="majorHAnsi" w:eastAsia="Times New Roman" w:hAnsiTheme="majorHAnsi" w:cstheme="majorHAnsi"/>
          <w:bCs/>
          <w:i/>
          <w:iCs/>
          <w:sz w:val="24"/>
          <w:szCs w:val="24"/>
          <w:lang w:val="ro-MD"/>
        </w:rPr>
        <w:t xml:space="preserve">tructura organizațională a SAI nu oferă posibilitatea îndeplinirii corespunzătoare și calitative a sarcinilor și atribuțiilor, deoarece sarcina </w:t>
      </w:r>
      <w:r w:rsidR="00C90201" w:rsidRPr="00921938">
        <w:rPr>
          <w:rFonts w:asciiTheme="majorHAnsi" w:eastAsia="Times New Roman" w:hAnsiTheme="majorHAnsi" w:cstheme="majorHAnsi"/>
          <w:bCs/>
          <w:i/>
          <w:iCs/>
          <w:sz w:val="24"/>
          <w:szCs w:val="24"/>
          <w:lang w:val="ro-MD"/>
        </w:rPr>
        <w:t xml:space="preserve">per </w:t>
      </w:r>
      <w:r w:rsidR="0070437A" w:rsidRPr="00921938">
        <w:rPr>
          <w:rFonts w:asciiTheme="majorHAnsi" w:eastAsia="Times New Roman" w:hAnsiTheme="majorHAnsi" w:cstheme="majorHAnsi"/>
          <w:bCs/>
          <w:i/>
          <w:iCs/>
          <w:sz w:val="24"/>
          <w:szCs w:val="24"/>
          <w:lang w:val="ro-MD"/>
        </w:rPr>
        <w:t>auditor</w:t>
      </w:r>
      <w:r w:rsidR="00C90201" w:rsidRPr="00921938">
        <w:rPr>
          <w:rFonts w:asciiTheme="majorHAnsi" w:eastAsia="Times New Roman" w:hAnsiTheme="majorHAnsi" w:cstheme="majorHAnsi"/>
          <w:bCs/>
          <w:i/>
          <w:iCs/>
          <w:sz w:val="24"/>
          <w:szCs w:val="24"/>
          <w:lang w:val="ro-MD"/>
        </w:rPr>
        <w:t xml:space="preserve"> intern</w:t>
      </w:r>
      <w:r w:rsidR="0070437A" w:rsidRPr="00921938">
        <w:rPr>
          <w:rFonts w:asciiTheme="majorHAnsi" w:eastAsia="Times New Roman" w:hAnsiTheme="majorHAnsi" w:cstheme="majorHAnsi"/>
          <w:bCs/>
          <w:i/>
          <w:iCs/>
          <w:sz w:val="24"/>
          <w:szCs w:val="24"/>
          <w:lang w:val="ro-MD"/>
        </w:rPr>
        <w:t xml:space="preserve"> este una extrem de mare</w:t>
      </w:r>
      <w:r w:rsidR="00382F04" w:rsidRPr="00921938">
        <w:rPr>
          <w:rFonts w:asciiTheme="majorHAnsi" w:eastAsia="Times New Roman" w:hAnsiTheme="majorHAnsi" w:cstheme="majorHAnsi"/>
          <w:bCs/>
          <w:i/>
          <w:iCs/>
          <w:sz w:val="24"/>
          <w:szCs w:val="24"/>
          <w:lang w:val="ro-MD"/>
        </w:rPr>
        <w:t>.</w:t>
      </w:r>
    </w:p>
    <w:p w14:paraId="49187C8D" w14:textId="59B1B48C" w:rsidR="00853D5E" w:rsidRPr="00921938" w:rsidRDefault="00B06123"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b/>
          <w:bCs/>
          <w:iCs/>
          <w:sz w:val="24"/>
          <w:lang w:val="ro-MD"/>
        </w:rPr>
        <w:t>5</w:t>
      </w:r>
      <w:r w:rsidR="00853D5E" w:rsidRPr="00921938">
        <w:rPr>
          <w:rFonts w:asciiTheme="majorHAnsi" w:hAnsiTheme="majorHAnsi" w:cstheme="majorHAnsi"/>
          <w:b/>
          <w:bCs/>
          <w:iCs/>
          <w:sz w:val="24"/>
          <w:lang w:val="ro-MD"/>
        </w:rPr>
        <w:t>.4.</w:t>
      </w:r>
      <w:r w:rsidR="00587722" w:rsidRPr="00921938">
        <w:rPr>
          <w:rFonts w:asciiTheme="majorHAnsi" w:hAnsiTheme="majorHAnsi" w:cstheme="majorHAnsi"/>
          <w:b/>
          <w:bCs/>
          <w:iCs/>
          <w:sz w:val="24"/>
          <w:lang w:val="ro-MD"/>
        </w:rPr>
        <w:t>1</w:t>
      </w:r>
      <w:r w:rsidR="00853D5E" w:rsidRPr="00921938">
        <w:rPr>
          <w:rFonts w:asciiTheme="majorHAnsi" w:hAnsiTheme="majorHAnsi" w:cstheme="majorHAnsi"/>
          <w:sz w:val="24"/>
          <w:lang w:val="ro-MD"/>
        </w:rPr>
        <w:t xml:space="preserve"> Serviciile educaționale pentru realizarea planului de pregătire a cadrelor din învățământul superior </w:t>
      </w:r>
      <w:r w:rsidR="00FC415C">
        <w:rPr>
          <w:rFonts w:asciiTheme="majorHAnsi" w:hAnsiTheme="majorHAnsi" w:cstheme="majorHAnsi"/>
          <w:sz w:val="24"/>
          <w:lang w:val="ro-MD"/>
        </w:rPr>
        <w:t>(</w:t>
      </w:r>
      <w:r w:rsidR="00FC415C" w:rsidRPr="00921938">
        <w:rPr>
          <w:rFonts w:asciiTheme="majorHAnsi" w:hAnsiTheme="majorHAnsi" w:cstheme="majorHAnsi"/>
          <w:sz w:val="24"/>
          <w:lang w:val="ro-MD"/>
        </w:rPr>
        <w:t>în sumă de 674,9 mil.lei</w:t>
      </w:r>
      <w:r w:rsidR="00FC415C">
        <w:rPr>
          <w:rFonts w:asciiTheme="majorHAnsi" w:hAnsiTheme="majorHAnsi" w:cstheme="majorHAnsi"/>
          <w:sz w:val="24"/>
          <w:lang w:val="ro-MD"/>
        </w:rPr>
        <w:t>)</w:t>
      </w:r>
      <w:r w:rsidR="00FC415C" w:rsidRPr="00921938">
        <w:rPr>
          <w:rFonts w:asciiTheme="majorHAnsi" w:hAnsiTheme="majorHAnsi" w:cstheme="majorHAnsi"/>
          <w:sz w:val="24"/>
          <w:lang w:val="ro-MD"/>
        </w:rPr>
        <w:t xml:space="preserve"> </w:t>
      </w:r>
      <w:r w:rsidR="00853D5E" w:rsidRPr="00921938">
        <w:rPr>
          <w:rFonts w:asciiTheme="majorHAnsi" w:hAnsiTheme="majorHAnsi" w:cstheme="majorHAnsi"/>
          <w:sz w:val="24"/>
          <w:lang w:val="ro-MD"/>
        </w:rPr>
        <w:t>au fost contractate de către MECC</w:t>
      </w:r>
      <w:r w:rsidR="00853D5E" w:rsidRPr="00921938">
        <w:rPr>
          <w:rFonts w:asciiTheme="majorHAnsi" w:eastAsia="Times New Roman" w:hAnsiTheme="majorHAnsi" w:cstheme="majorHAnsi"/>
          <w:sz w:val="24"/>
          <w:szCs w:val="24"/>
          <w:lang w:val="ro-MD" w:eastAsia="ru-RU"/>
        </w:rPr>
        <w:t xml:space="preserve"> contrar prevederilor art.206 din Codul civil (în redacția anului 20</w:t>
      </w:r>
      <w:r w:rsidR="00DE3AE2">
        <w:rPr>
          <w:rFonts w:asciiTheme="majorHAnsi" w:eastAsia="Times New Roman" w:hAnsiTheme="majorHAnsi" w:cstheme="majorHAnsi"/>
          <w:sz w:val="24"/>
          <w:szCs w:val="24"/>
          <w:lang w:val="ro-MD" w:eastAsia="ru-RU"/>
        </w:rPr>
        <w:t>03</w:t>
      </w:r>
      <w:r w:rsidR="00853D5E" w:rsidRPr="00921938">
        <w:rPr>
          <w:rFonts w:asciiTheme="majorHAnsi" w:eastAsia="Times New Roman" w:hAnsiTheme="majorHAnsi" w:cstheme="majorHAnsi"/>
          <w:sz w:val="24"/>
          <w:szCs w:val="24"/>
          <w:lang w:val="ro-MD" w:eastAsia="ru-RU"/>
        </w:rPr>
        <w:t xml:space="preserve">), </w:t>
      </w:r>
      <w:r w:rsidR="00DE3AE2">
        <w:rPr>
          <w:rFonts w:asciiTheme="majorHAnsi" w:eastAsia="Times New Roman" w:hAnsiTheme="majorHAnsi" w:cstheme="majorHAnsi"/>
          <w:sz w:val="24"/>
          <w:szCs w:val="24"/>
          <w:lang w:val="ro-MD" w:eastAsia="ru-RU"/>
        </w:rPr>
        <w:t>nefiind</w:t>
      </w:r>
      <w:r w:rsidR="00853D5E" w:rsidRPr="00921938">
        <w:rPr>
          <w:rFonts w:asciiTheme="majorHAnsi" w:eastAsia="Times New Roman" w:hAnsiTheme="majorHAnsi" w:cstheme="majorHAnsi"/>
          <w:sz w:val="24"/>
          <w:szCs w:val="24"/>
          <w:lang w:val="ro-MD" w:eastAsia="ru-RU"/>
        </w:rPr>
        <w:t xml:space="preserve"> determinat exact obiectul contractului (tipul, cantitatea și calitatea serviciului).</w:t>
      </w:r>
      <w:r w:rsidR="00853D5E" w:rsidRPr="00921938">
        <w:rPr>
          <w:rFonts w:asciiTheme="majorHAnsi" w:hAnsiTheme="majorHAnsi" w:cstheme="majorHAnsi"/>
          <w:iCs/>
          <w:sz w:val="24"/>
          <w:szCs w:val="24"/>
          <w:lang w:val="ro-MD"/>
        </w:rPr>
        <w:t xml:space="preserve"> În acest sens, lipsesc datele privind numărul de studenți </w:t>
      </w:r>
      <w:r w:rsidR="00853D5E" w:rsidRPr="00921938">
        <w:rPr>
          <w:rFonts w:asciiTheme="majorHAnsi" w:eastAsia="Times New Roman" w:hAnsiTheme="majorHAnsi" w:cstheme="majorHAnsi"/>
          <w:sz w:val="24"/>
          <w:szCs w:val="24"/>
          <w:lang w:val="ro-MD" w:eastAsia="ru-RU"/>
        </w:rPr>
        <w:t>echivalenți pe cicluri de studii finanțați de la bugetul de stat în conformitate cu planul de admitere prevăzut de comanda de stat,</w:t>
      </w:r>
      <w:r w:rsidR="00853D5E" w:rsidRPr="00921938">
        <w:rPr>
          <w:rFonts w:asciiTheme="majorHAnsi" w:hAnsiTheme="majorHAnsi" w:cstheme="majorHAnsi"/>
          <w:iCs/>
          <w:sz w:val="24"/>
          <w:szCs w:val="24"/>
          <w:lang w:val="ro-MD"/>
        </w:rPr>
        <w:t xml:space="preserve"> iar programele de studii nu toate au fost supuse procesului de evaluare externă a calității și acreditate</w:t>
      </w:r>
      <w:r w:rsidR="00853D5E" w:rsidRPr="00921938">
        <w:rPr>
          <w:rStyle w:val="FootnoteReference"/>
          <w:rFonts w:asciiTheme="majorHAnsi" w:hAnsiTheme="majorHAnsi" w:cstheme="majorHAnsi"/>
          <w:iCs/>
          <w:sz w:val="24"/>
          <w:szCs w:val="24"/>
          <w:lang w:val="ro-MD"/>
        </w:rPr>
        <w:footnoteReference w:id="26"/>
      </w:r>
      <w:r w:rsidR="00853D5E" w:rsidRPr="00921938">
        <w:rPr>
          <w:rFonts w:asciiTheme="majorHAnsi" w:hAnsiTheme="majorHAnsi" w:cstheme="majorHAnsi"/>
          <w:iCs/>
          <w:sz w:val="24"/>
          <w:szCs w:val="24"/>
          <w:lang w:val="ro-MD"/>
        </w:rPr>
        <w:t xml:space="preserve">. </w:t>
      </w:r>
      <w:r w:rsidR="00853D5E" w:rsidRPr="00921938">
        <w:rPr>
          <w:rFonts w:asciiTheme="majorHAnsi" w:hAnsiTheme="majorHAnsi" w:cstheme="majorHAnsi"/>
          <w:sz w:val="24"/>
          <w:szCs w:val="24"/>
          <w:lang w:val="ro-MD"/>
        </w:rPr>
        <w:t>Ministerul nu dispune de o informație sistematizat</w:t>
      </w:r>
      <w:r w:rsidR="004719A8">
        <w:rPr>
          <w:rFonts w:asciiTheme="majorHAnsi" w:hAnsiTheme="majorHAnsi" w:cstheme="majorHAnsi"/>
          <w:sz w:val="24"/>
          <w:szCs w:val="24"/>
          <w:lang w:val="ro-MD"/>
        </w:rPr>
        <w:t>ă</w:t>
      </w:r>
      <w:r w:rsidR="00853D5E" w:rsidRPr="00921938">
        <w:rPr>
          <w:rFonts w:asciiTheme="majorHAnsi" w:hAnsiTheme="majorHAnsi" w:cstheme="majorHAnsi"/>
          <w:sz w:val="24"/>
          <w:szCs w:val="24"/>
          <w:lang w:val="ro-MD"/>
        </w:rPr>
        <w:t xml:space="preserve"> </w:t>
      </w:r>
      <w:r w:rsidR="00853D5E" w:rsidRPr="00921938">
        <w:rPr>
          <w:rFonts w:asciiTheme="majorHAnsi" w:hAnsiTheme="majorHAnsi" w:cstheme="majorHAnsi"/>
          <w:sz w:val="24"/>
          <w:szCs w:val="24"/>
          <w:lang w:val="ro-MD"/>
        </w:rPr>
        <w:lastRenderedPageBreak/>
        <w:t>privind numărul de programe de studii pe cicluri și instituții care nu au fost acreditate până la 31.12.2019.</w:t>
      </w:r>
    </w:p>
    <w:p w14:paraId="4B6F02B7" w14:textId="6C549CD5" w:rsidR="00853D5E" w:rsidRPr="00921938" w:rsidRDefault="00080944" w:rsidP="00325F1F">
      <w:pPr>
        <w:spacing w:after="0" w:line="276" w:lineRule="auto"/>
        <w:jc w:val="both"/>
        <w:rPr>
          <w:rFonts w:asciiTheme="majorHAnsi" w:hAnsiTheme="majorHAnsi" w:cstheme="majorHAnsi"/>
          <w:sz w:val="24"/>
          <w:lang w:val="ro-MD"/>
        </w:rPr>
      </w:pPr>
      <w:r>
        <w:rPr>
          <w:rFonts w:asciiTheme="majorHAnsi" w:hAnsiTheme="majorHAnsi" w:cstheme="majorHAnsi"/>
          <w:sz w:val="24"/>
          <w:szCs w:val="24"/>
          <w:lang w:val="ro-MD"/>
        </w:rPr>
        <w:t>F</w:t>
      </w:r>
      <w:r w:rsidRPr="00921938">
        <w:rPr>
          <w:rFonts w:asciiTheme="majorHAnsi" w:hAnsiTheme="majorHAnsi" w:cstheme="majorHAnsi"/>
          <w:sz w:val="24"/>
          <w:szCs w:val="24"/>
          <w:lang w:val="ro-MD"/>
        </w:rPr>
        <w:t xml:space="preserve">inanțarea instituțiilor de învățământ superior </w:t>
      </w:r>
      <w:r>
        <w:rPr>
          <w:rFonts w:asciiTheme="majorHAnsi" w:hAnsiTheme="majorHAnsi" w:cstheme="majorHAnsi"/>
          <w:sz w:val="24"/>
          <w:szCs w:val="24"/>
          <w:lang w:val="ro-MD"/>
        </w:rPr>
        <w:t xml:space="preserve">nu este corelată cu numărul de studenți. </w:t>
      </w:r>
      <w:r w:rsidR="00853D5E" w:rsidRPr="00921938">
        <w:rPr>
          <w:rFonts w:asciiTheme="majorHAnsi" w:hAnsiTheme="majorHAnsi" w:cstheme="majorHAnsi"/>
          <w:sz w:val="24"/>
          <w:szCs w:val="24"/>
          <w:lang w:val="ro-MD"/>
        </w:rPr>
        <w:t xml:space="preserve">În timp ce volumul </w:t>
      </w:r>
      <w:r>
        <w:rPr>
          <w:rFonts w:asciiTheme="majorHAnsi" w:hAnsiTheme="majorHAnsi" w:cstheme="majorHAnsi"/>
          <w:sz w:val="24"/>
          <w:szCs w:val="24"/>
          <w:lang w:val="ro-MD"/>
        </w:rPr>
        <w:t>de</w:t>
      </w:r>
      <w:r w:rsidR="00853D5E" w:rsidRPr="00921938">
        <w:rPr>
          <w:rFonts w:asciiTheme="majorHAnsi" w:hAnsiTheme="majorHAnsi" w:cstheme="majorHAnsi"/>
          <w:sz w:val="24"/>
          <w:szCs w:val="24"/>
          <w:lang w:val="ro-MD"/>
        </w:rPr>
        <w:t xml:space="preserve"> finanțare</w:t>
      </w:r>
      <w:r>
        <w:rPr>
          <w:rFonts w:asciiTheme="majorHAnsi" w:hAnsiTheme="majorHAnsi" w:cstheme="majorHAnsi"/>
          <w:sz w:val="24"/>
          <w:szCs w:val="24"/>
          <w:lang w:val="ro-MD"/>
        </w:rPr>
        <w:t xml:space="preserve"> </w:t>
      </w:r>
      <w:r w:rsidR="00853D5E" w:rsidRPr="00921938">
        <w:rPr>
          <w:rFonts w:asciiTheme="majorHAnsi" w:hAnsiTheme="majorHAnsi" w:cstheme="majorHAnsi"/>
          <w:sz w:val="24"/>
          <w:szCs w:val="24"/>
          <w:lang w:val="ro-MD"/>
        </w:rPr>
        <w:t>este în creștere (de la 595,2 mil.lei în 2018 până la 674,9 mil.lei în 2019 (+11,2%)), numărul de studenți finanțați de la bugetul de stat este în descreștere cu 855 de studenți (5,0%)</w:t>
      </w:r>
      <w:r w:rsidR="00853D5E" w:rsidRPr="00921938">
        <w:rPr>
          <w:rFonts w:asciiTheme="majorHAnsi" w:hAnsiTheme="majorHAnsi" w:cstheme="majorHAnsi"/>
          <w:b/>
          <w:sz w:val="24"/>
          <w:szCs w:val="24"/>
          <w:lang w:val="ro-MD"/>
        </w:rPr>
        <w:t xml:space="preserve"> </w:t>
      </w:r>
      <w:r w:rsidR="00853D5E" w:rsidRPr="00921938">
        <w:rPr>
          <w:rFonts w:asciiTheme="majorHAnsi" w:hAnsiTheme="majorHAnsi" w:cstheme="majorHAnsi"/>
          <w:sz w:val="24"/>
          <w:szCs w:val="24"/>
          <w:lang w:val="ro-MD"/>
        </w:rPr>
        <w:t xml:space="preserve">(17740 în anul 2018, 16855 în anul 2019). </w:t>
      </w:r>
      <w:r w:rsidR="00853D5E" w:rsidRPr="00921938">
        <w:rPr>
          <w:rFonts w:asciiTheme="majorHAnsi" w:hAnsiTheme="majorHAnsi" w:cstheme="majorHAnsi"/>
          <w:sz w:val="24"/>
          <w:lang w:val="ro-MD"/>
        </w:rPr>
        <w:t>Cheltuielile medii de pregătire a unui student cu finanțare din buget pe cicluri diferă față de cele din veniturile proprii, costul mediu a</w:t>
      </w:r>
      <w:r w:rsidR="00337438">
        <w:rPr>
          <w:rFonts w:asciiTheme="majorHAnsi" w:hAnsiTheme="majorHAnsi" w:cstheme="majorHAnsi"/>
          <w:sz w:val="24"/>
          <w:lang w:val="ro-MD"/>
        </w:rPr>
        <w:t>l</w:t>
      </w:r>
      <w:r w:rsidR="00853D5E" w:rsidRPr="00921938">
        <w:rPr>
          <w:rFonts w:asciiTheme="majorHAnsi" w:hAnsiTheme="majorHAnsi" w:cstheme="majorHAnsi"/>
          <w:sz w:val="24"/>
          <w:lang w:val="ro-MD"/>
        </w:rPr>
        <w:t xml:space="preserve"> unui student (pentru ciclul I) din alocațiile bugetare înregistrează </w:t>
      </w:r>
      <w:r w:rsidR="00337438">
        <w:rPr>
          <w:rFonts w:asciiTheme="majorHAnsi" w:hAnsiTheme="majorHAnsi" w:cstheme="majorHAnsi"/>
          <w:sz w:val="24"/>
          <w:lang w:val="ro-MD"/>
        </w:rPr>
        <w:t xml:space="preserve">valori </w:t>
      </w:r>
      <w:r w:rsidR="00853D5E" w:rsidRPr="00921938">
        <w:rPr>
          <w:rFonts w:asciiTheme="majorHAnsi" w:hAnsiTheme="majorHAnsi" w:cstheme="majorHAnsi"/>
          <w:sz w:val="24"/>
          <w:lang w:val="ro-MD"/>
        </w:rPr>
        <w:t xml:space="preserve">de la 31,9 mii lei până la 88,2 mii lei, în timp ce </w:t>
      </w:r>
      <w:r w:rsidR="00337438">
        <w:rPr>
          <w:rFonts w:asciiTheme="majorHAnsi" w:hAnsiTheme="majorHAnsi" w:cstheme="majorHAnsi"/>
          <w:sz w:val="24"/>
          <w:lang w:val="ro-MD"/>
        </w:rPr>
        <w:t xml:space="preserve">cheltuielile </w:t>
      </w:r>
      <w:r w:rsidR="00853D5E" w:rsidRPr="00921938">
        <w:rPr>
          <w:rFonts w:asciiTheme="majorHAnsi" w:hAnsiTheme="majorHAnsi" w:cstheme="majorHAnsi"/>
          <w:sz w:val="24"/>
          <w:lang w:val="ro-MD"/>
        </w:rPr>
        <w:t>din veniturile proprii sunt de la 4,6 mii lei până la 17,9 mii lei</w:t>
      </w:r>
      <w:r w:rsidR="00853D5E" w:rsidRPr="00921938">
        <w:rPr>
          <w:rStyle w:val="FootnoteReference"/>
          <w:rFonts w:asciiTheme="majorHAnsi" w:hAnsiTheme="majorHAnsi" w:cstheme="majorHAnsi"/>
          <w:lang w:val="ro-MD"/>
        </w:rPr>
        <w:footnoteReference w:id="27"/>
      </w:r>
      <w:r w:rsidR="00853D5E" w:rsidRPr="00921938">
        <w:rPr>
          <w:rFonts w:asciiTheme="majorHAnsi" w:hAnsiTheme="majorHAnsi" w:cstheme="majorHAnsi"/>
          <w:sz w:val="24"/>
          <w:lang w:val="ro-MD"/>
        </w:rPr>
        <w:t>.</w:t>
      </w:r>
    </w:p>
    <w:p w14:paraId="09D633E8" w14:textId="2E7CCEA7" w:rsidR="00337438" w:rsidRDefault="00B06123" w:rsidP="00325F1F">
      <w:pPr>
        <w:pStyle w:val="NormalWeb"/>
        <w:spacing w:line="276" w:lineRule="auto"/>
        <w:ind w:firstLine="0"/>
        <w:rPr>
          <w:rFonts w:asciiTheme="majorHAnsi" w:hAnsiTheme="majorHAnsi" w:cstheme="majorHAnsi"/>
          <w:lang w:val="ro-MD"/>
        </w:rPr>
      </w:pPr>
      <w:r w:rsidRPr="00921938">
        <w:rPr>
          <w:rFonts w:asciiTheme="majorHAnsi" w:hAnsiTheme="majorHAnsi" w:cstheme="majorHAnsi"/>
          <w:b/>
          <w:iCs/>
          <w:lang w:val="ro-MD"/>
        </w:rPr>
        <w:t>5</w:t>
      </w:r>
      <w:r w:rsidR="00853D5E" w:rsidRPr="00921938">
        <w:rPr>
          <w:rFonts w:asciiTheme="majorHAnsi" w:hAnsiTheme="majorHAnsi" w:cstheme="majorHAnsi"/>
          <w:b/>
          <w:iCs/>
          <w:lang w:val="ro-MD"/>
        </w:rPr>
        <w:t>.</w:t>
      </w:r>
      <w:r w:rsidR="00587722" w:rsidRPr="00921938">
        <w:rPr>
          <w:rFonts w:asciiTheme="majorHAnsi" w:hAnsiTheme="majorHAnsi" w:cstheme="majorHAnsi"/>
          <w:b/>
          <w:iCs/>
          <w:lang w:val="ro-MD"/>
        </w:rPr>
        <w:t>4</w:t>
      </w:r>
      <w:r w:rsidR="00853D5E" w:rsidRPr="00921938">
        <w:rPr>
          <w:rFonts w:asciiTheme="majorHAnsi" w:hAnsiTheme="majorHAnsi" w:cstheme="majorHAnsi"/>
          <w:b/>
          <w:iCs/>
          <w:lang w:val="ro-MD"/>
        </w:rPr>
        <w:t>.</w:t>
      </w:r>
      <w:r w:rsidR="00587722" w:rsidRPr="00921938">
        <w:rPr>
          <w:rFonts w:asciiTheme="majorHAnsi" w:hAnsiTheme="majorHAnsi" w:cstheme="majorHAnsi"/>
          <w:b/>
          <w:iCs/>
          <w:lang w:val="ro-MD"/>
        </w:rPr>
        <w:t>2</w:t>
      </w:r>
      <w:r w:rsidR="00853D5E" w:rsidRPr="00921938">
        <w:rPr>
          <w:rFonts w:asciiTheme="majorHAnsi" w:hAnsiTheme="majorHAnsi" w:cstheme="majorHAnsi"/>
          <w:bCs/>
          <w:i/>
          <w:lang w:val="ro-MD"/>
        </w:rPr>
        <w:t xml:space="preserve"> Procesul de planificare și executare a mijloacelor financiare pentru finanțarea </w:t>
      </w:r>
      <w:r w:rsidR="00853D5E" w:rsidRPr="00921938">
        <w:rPr>
          <w:rFonts w:asciiTheme="majorHAnsi" w:hAnsiTheme="majorHAnsi" w:cstheme="majorHAnsi"/>
          <w:i/>
          <w:lang w:val="ro-MD"/>
        </w:rPr>
        <w:t xml:space="preserve">instituțiilor de învățământ profesional tehnic din subordine </w:t>
      </w:r>
      <w:r w:rsidR="00853D5E" w:rsidRPr="00921938">
        <w:rPr>
          <w:rFonts w:asciiTheme="majorHAnsi" w:hAnsiTheme="majorHAnsi" w:cstheme="majorHAnsi"/>
          <w:bCs/>
          <w:i/>
          <w:lang w:val="ro-MD"/>
        </w:rPr>
        <w:t>nu a fost realizat regulamentar</w:t>
      </w:r>
      <w:r w:rsidR="00853D5E" w:rsidRPr="00921938">
        <w:rPr>
          <w:rStyle w:val="FootnoteReference"/>
          <w:rFonts w:asciiTheme="majorHAnsi" w:hAnsiTheme="majorHAnsi" w:cstheme="majorHAnsi"/>
          <w:lang w:val="ro-MD"/>
        </w:rPr>
        <w:footnoteReference w:id="28"/>
      </w:r>
      <w:r w:rsidR="00337438">
        <w:rPr>
          <w:rFonts w:asciiTheme="majorHAnsi" w:hAnsiTheme="majorHAnsi" w:cstheme="majorHAnsi"/>
          <w:bCs/>
          <w:i/>
          <w:lang w:val="ro-MD"/>
        </w:rPr>
        <w:t>.</w:t>
      </w:r>
      <w:r w:rsidR="00853D5E" w:rsidRPr="00921938">
        <w:rPr>
          <w:rFonts w:asciiTheme="majorHAnsi" w:hAnsiTheme="majorHAnsi" w:cstheme="majorHAnsi"/>
          <w:bCs/>
          <w:i/>
          <w:lang w:val="ro-MD"/>
        </w:rPr>
        <w:t xml:space="preserve"> </w:t>
      </w:r>
      <w:r w:rsidR="00853D5E" w:rsidRPr="00BA41FB">
        <w:rPr>
          <w:rFonts w:asciiTheme="majorHAnsi" w:hAnsiTheme="majorHAnsi" w:cstheme="majorHAnsi"/>
          <w:bCs/>
          <w:lang w:val="ro-MD"/>
        </w:rPr>
        <w:t>MECC</w:t>
      </w:r>
      <w:r w:rsidR="00853D5E" w:rsidRPr="00921938">
        <w:rPr>
          <w:rFonts w:asciiTheme="majorHAnsi" w:hAnsiTheme="majorHAnsi" w:cstheme="majorHAnsi"/>
          <w:bCs/>
          <w:lang w:val="ro-MD"/>
        </w:rPr>
        <w:t xml:space="preserve"> </w:t>
      </w:r>
      <w:r w:rsidR="00337438">
        <w:rPr>
          <w:rFonts w:asciiTheme="majorHAnsi" w:hAnsiTheme="majorHAnsi" w:cstheme="majorHAnsi"/>
          <w:bCs/>
          <w:lang w:val="ro-MD"/>
        </w:rPr>
        <w:t xml:space="preserve">nu a </w:t>
      </w:r>
      <w:r w:rsidR="00853D5E" w:rsidRPr="00921938">
        <w:rPr>
          <w:rFonts w:asciiTheme="majorHAnsi" w:hAnsiTheme="majorHAnsi" w:cstheme="majorHAnsi"/>
          <w:bCs/>
          <w:lang w:val="ro-MD"/>
        </w:rPr>
        <w:t>aproba</w:t>
      </w:r>
      <w:r w:rsidR="00337438">
        <w:rPr>
          <w:rFonts w:asciiTheme="majorHAnsi" w:hAnsiTheme="majorHAnsi" w:cstheme="majorHAnsi"/>
          <w:bCs/>
          <w:lang w:val="ro-MD"/>
        </w:rPr>
        <w:t>t</w:t>
      </w:r>
      <w:r w:rsidR="00853D5E" w:rsidRPr="00921938">
        <w:rPr>
          <w:rStyle w:val="FootnoteReference"/>
          <w:rFonts w:asciiTheme="majorHAnsi" w:hAnsiTheme="majorHAnsi" w:cstheme="majorHAnsi"/>
          <w:bCs/>
          <w:lang w:val="ro-MD"/>
        </w:rPr>
        <w:footnoteReference w:id="29"/>
      </w:r>
      <w:r w:rsidR="00853D5E" w:rsidRPr="00921938">
        <w:rPr>
          <w:rFonts w:asciiTheme="majorHAnsi" w:hAnsiTheme="majorHAnsi" w:cstheme="majorHAnsi"/>
          <w:bCs/>
          <w:lang w:val="ro-MD"/>
        </w:rPr>
        <w:t xml:space="preserve"> costul mediu de instruire aplicat la planificarea alocațiilor bugetare</w:t>
      </w:r>
      <w:r w:rsidR="00337438">
        <w:rPr>
          <w:rFonts w:asciiTheme="majorHAnsi" w:hAnsiTheme="majorHAnsi" w:cstheme="majorHAnsi"/>
          <w:bCs/>
          <w:lang w:val="ro-MD"/>
        </w:rPr>
        <w:t>.</w:t>
      </w:r>
      <w:r w:rsidR="00853D5E" w:rsidRPr="00921938">
        <w:rPr>
          <w:rFonts w:asciiTheme="majorHAnsi" w:hAnsiTheme="majorHAnsi" w:cstheme="majorHAnsi"/>
          <w:bCs/>
          <w:lang w:val="ro-MD"/>
        </w:rPr>
        <w:t xml:space="preserve"> </w:t>
      </w:r>
      <w:r w:rsidR="00BA41FB">
        <w:rPr>
          <w:rFonts w:asciiTheme="majorHAnsi" w:hAnsiTheme="majorHAnsi" w:cstheme="majorHAnsi"/>
          <w:bCs/>
          <w:lang w:val="ro-MD"/>
        </w:rPr>
        <w:t>Totuși, a</w:t>
      </w:r>
      <w:r w:rsidR="00853D5E" w:rsidRPr="00921938">
        <w:rPr>
          <w:rFonts w:asciiTheme="majorHAnsi" w:hAnsiTheme="majorHAnsi" w:cstheme="majorHAnsi"/>
          <w:bCs/>
          <w:lang w:val="ro-MD"/>
        </w:rPr>
        <w:t>cest cost a fost aplicat pentru învățământul profesional tehnic secundar</w:t>
      </w:r>
      <w:r w:rsidR="00337438">
        <w:rPr>
          <w:rFonts w:asciiTheme="majorHAnsi" w:hAnsiTheme="majorHAnsi" w:cstheme="majorHAnsi"/>
          <w:bCs/>
          <w:lang w:val="ro-MD"/>
        </w:rPr>
        <w:t>,</w:t>
      </w:r>
      <w:r w:rsidR="00853D5E" w:rsidRPr="00921938">
        <w:rPr>
          <w:rFonts w:asciiTheme="majorHAnsi" w:hAnsiTheme="majorHAnsi" w:cstheme="majorHAnsi"/>
          <w:bCs/>
          <w:lang w:val="ro-MD"/>
        </w:rPr>
        <w:t xml:space="preserve"> în sumă de 14,3 mii lei per elev</w:t>
      </w:r>
      <w:r w:rsidR="00337438">
        <w:rPr>
          <w:rFonts w:asciiTheme="majorHAnsi" w:hAnsiTheme="majorHAnsi" w:cstheme="majorHAnsi"/>
          <w:bCs/>
          <w:lang w:val="ro-MD"/>
        </w:rPr>
        <w:t>,</w:t>
      </w:r>
      <w:r w:rsidR="00853D5E" w:rsidRPr="00921938">
        <w:rPr>
          <w:rFonts w:asciiTheme="majorHAnsi" w:hAnsiTheme="majorHAnsi" w:cstheme="majorHAnsi"/>
          <w:bCs/>
          <w:lang w:val="ro-MD"/>
        </w:rPr>
        <w:t xml:space="preserve"> și pentru învățământul profesional tehnic postsecundar – de 16,0 mii lei per elev.</w:t>
      </w:r>
      <w:r w:rsidR="00853D5E" w:rsidRPr="00921938">
        <w:rPr>
          <w:rFonts w:asciiTheme="majorHAnsi" w:hAnsiTheme="majorHAnsi" w:cstheme="majorHAnsi"/>
          <w:lang w:val="ro-MD"/>
        </w:rPr>
        <w:t xml:space="preserve"> La planificarea alocațiilor bugetare pentru 3 instituții</w:t>
      </w:r>
      <w:r w:rsidR="00853D5E" w:rsidRPr="00921938">
        <w:rPr>
          <w:rStyle w:val="FootnoteReference"/>
          <w:rFonts w:asciiTheme="majorHAnsi" w:hAnsiTheme="majorHAnsi" w:cstheme="majorHAnsi"/>
          <w:lang w:val="ro-MD"/>
        </w:rPr>
        <w:footnoteReference w:id="30"/>
      </w:r>
      <w:r w:rsidR="00337438">
        <w:rPr>
          <w:rFonts w:asciiTheme="majorHAnsi" w:hAnsiTheme="majorHAnsi" w:cstheme="majorHAnsi"/>
          <w:lang w:val="ro-MD"/>
        </w:rPr>
        <w:t>,</w:t>
      </w:r>
      <w:r w:rsidR="00853D5E" w:rsidRPr="00921938">
        <w:rPr>
          <w:rFonts w:asciiTheme="majorHAnsi" w:hAnsiTheme="majorHAnsi" w:cstheme="majorHAnsi"/>
          <w:lang w:val="ro-MD"/>
        </w:rPr>
        <w:t xml:space="preserve"> nu a fost utilizat nici </w:t>
      </w:r>
      <w:r w:rsidR="00853D5E" w:rsidRPr="00921938">
        <w:rPr>
          <w:rFonts w:asciiTheme="majorHAnsi" w:hAnsiTheme="majorHAnsi" w:cstheme="majorHAnsi"/>
          <w:bCs/>
          <w:lang w:val="ro-MD"/>
        </w:rPr>
        <w:t>costul mediu de instruire aplicat</w:t>
      </w:r>
      <w:r w:rsidR="00853D5E" w:rsidRPr="00921938">
        <w:rPr>
          <w:rFonts w:asciiTheme="majorHAnsi" w:hAnsiTheme="majorHAnsi" w:cstheme="majorHAnsi"/>
          <w:lang w:val="ro-MD"/>
        </w:rPr>
        <w:t xml:space="preserve">, fapt ce a condus la aprobarea alocațiilor bugetare cu 8,3 mil.lei mai mult față de normativul prevăzut. </w:t>
      </w:r>
    </w:p>
    <w:p w14:paraId="7CC809FB" w14:textId="45D48889" w:rsidR="00853D5E" w:rsidRPr="00921938" w:rsidRDefault="00853D5E" w:rsidP="00325F1F">
      <w:pPr>
        <w:pStyle w:val="NormalWeb"/>
        <w:spacing w:line="276" w:lineRule="auto"/>
        <w:ind w:firstLine="0"/>
        <w:rPr>
          <w:rFonts w:asciiTheme="majorHAnsi" w:hAnsiTheme="majorHAnsi" w:cstheme="majorHAnsi"/>
          <w:bCs/>
          <w:lang w:val="ro-MD"/>
        </w:rPr>
      </w:pPr>
      <w:r w:rsidRPr="00921938">
        <w:rPr>
          <w:rFonts w:asciiTheme="majorHAnsi" w:hAnsiTheme="majorHAnsi" w:cstheme="majorHAnsi"/>
          <w:lang w:val="ro-MD"/>
        </w:rPr>
        <w:t xml:space="preserve">Ulterior, la alocarea suplimentară a mijloacelor bugetare către instituțiile de învățământ profesional tehnic, MECC nu a ținut cont de prevederile pct.11 din </w:t>
      </w:r>
      <w:r w:rsidRPr="00921938">
        <w:rPr>
          <w:rFonts w:asciiTheme="majorHAnsi" w:hAnsiTheme="majorHAnsi" w:cstheme="majorHAnsi"/>
          <w:bCs/>
          <w:lang w:val="ro-MD"/>
        </w:rPr>
        <w:t xml:space="preserve">Regulamentul aprobat prin HG nr.1077 din 23.09.2016 și </w:t>
      </w:r>
      <w:r w:rsidRPr="00921938">
        <w:rPr>
          <w:rFonts w:asciiTheme="majorHAnsi" w:hAnsiTheme="majorHAnsi" w:cstheme="majorHAnsi"/>
          <w:lang w:val="ro-MD"/>
        </w:rPr>
        <w:t xml:space="preserve">nu a ajustat costul mediu de instruire inițial aplicat, mijloacele fiind alocate reieșind din necesitățile determinate de fiecare instituție. Astfel, s-a constatat că costul mediu de instruire de fapt a constituit 35,6 mii lei per elev, iar la 3 instituții de cultură acesta a </w:t>
      </w:r>
      <w:r w:rsidR="00337438">
        <w:rPr>
          <w:rFonts w:asciiTheme="majorHAnsi" w:hAnsiTheme="majorHAnsi" w:cstheme="majorHAnsi"/>
          <w:lang w:val="ro-MD"/>
        </w:rPr>
        <w:t>ajuns</w:t>
      </w:r>
      <w:r w:rsidR="00337438" w:rsidRPr="00921938">
        <w:rPr>
          <w:rFonts w:asciiTheme="majorHAnsi" w:hAnsiTheme="majorHAnsi" w:cstheme="majorHAnsi"/>
          <w:lang w:val="ro-MD"/>
        </w:rPr>
        <w:t xml:space="preserve"> </w:t>
      </w:r>
      <w:r w:rsidRPr="00921938">
        <w:rPr>
          <w:rFonts w:asciiTheme="majorHAnsi" w:hAnsiTheme="majorHAnsi" w:cstheme="majorHAnsi"/>
          <w:lang w:val="ro-MD"/>
        </w:rPr>
        <w:t>până la 106,2 mii lei</w:t>
      </w:r>
      <w:r w:rsidRPr="00921938">
        <w:rPr>
          <w:rStyle w:val="FootnoteReference"/>
          <w:rFonts w:asciiTheme="majorHAnsi" w:hAnsiTheme="majorHAnsi" w:cstheme="majorHAnsi"/>
          <w:lang w:val="ro-MD"/>
        </w:rPr>
        <w:footnoteReference w:id="31"/>
      </w:r>
      <w:r w:rsidRPr="00921938">
        <w:rPr>
          <w:rFonts w:asciiTheme="majorHAnsi" w:hAnsiTheme="majorHAnsi" w:cstheme="majorHAnsi"/>
          <w:lang w:val="ro-MD"/>
        </w:rPr>
        <w:t xml:space="preserve"> per elev</w:t>
      </w:r>
      <w:r w:rsidRPr="00921938">
        <w:rPr>
          <w:rFonts w:asciiTheme="majorHAnsi" w:hAnsiTheme="majorHAnsi" w:cstheme="majorHAnsi"/>
          <w:bCs/>
          <w:lang w:val="ro-MD"/>
        </w:rPr>
        <w:t>.</w:t>
      </w:r>
    </w:p>
    <w:p w14:paraId="2133EAC8" w14:textId="353610C9" w:rsidR="00853D5E" w:rsidRPr="00921938" w:rsidRDefault="00B06123" w:rsidP="00325F1F">
      <w:pPr>
        <w:pStyle w:val="ListParagraph"/>
        <w:tabs>
          <w:tab w:val="left" w:pos="0"/>
        </w:tabs>
        <w:spacing w:line="276" w:lineRule="auto"/>
        <w:ind w:left="0"/>
        <w:rPr>
          <w:rFonts w:asciiTheme="majorHAnsi" w:eastAsia="Calibri" w:hAnsiTheme="majorHAnsi" w:cstheme="majorHAnsi"/>
          <w:b/>
          <w:sz w:val="24"/>
          <w:szCs w:val="24"/>
          <w:lang w:val="ro-MD"/>
        </w:rPr>
      </w:pPr>
      <w:r w:rsidRPr="00921938">
        <w:rPr>
          <w:rFonts w:asciiTheme="majorHAnsi" w:hAnsiTheme="majorHAnsi" w:cstheme="majorHAnsi"/>
          <w:b/>
          <w:iCs/>
          <w:sz w:val="24"/>
          <w:szCs w:val="24"/>
          <w:lang w:val="ro-MD"/>
        </w:rPr>
        <w:t>5</w:t>
      </w:r>
      <w:r w:rsidR="00853D5E" w:rsidRPr="00921938">
        <w:rPr>
          <w:rFonts w:asciiTheme="majorHAnsi" w:hAnsiTheme="majorHAnsi" w:cstheme="majorHAnsi"/>
          <w:b/>
          <w:iCs/>
          <w:sz w:val="24"/>
          <w:szCs w:val="24"/>
          <w:lang w:val="ro-MD"/>
        </w:rPr>
        <w:t>.</w:t>
      </w:r>
      <w:r w:rsidR="00587722" w:rsidRPr="00921938">
        <w:rPr>
          <w:rFonts w:asciiTheme="majorHAnsi" w:hAnsiTheme="majorHAnsi" w:cstheme="majorHAnsi"/>
          <w:b/>
          <w:iCs/>
          <w:sz w:val="24"/>
          <w:szCs w:val="24"/>
          <w:lang w:val="ro-MD"/>
        </w:rPr>
        <w:t>4</w:t>
      </w:r>
      <w:r w:rsidR="00853D5E" w:rsidRPr="00921938">
        <w:rPr>
          <w:rFonts w:asciiTheme="majorHAnsi" w:hAnsiTheme="majorHAnsi" w:cstheme="majorHAnsi"/>
          <w:b/>
          <w:iCs/>
          <w:sz w:val="24"/>
          <w:szCs w:val="24"/>
          <w:lang w:val="ro-MD"/>
        </w:rPr>
        <w:t>.</w:t>
      </w:r>
      <w:r w:rsidR="00587722" w:rsidRPr="00921938">
        <w:rPr>
          <w:rFonts w:asciiTheme="majorHAnsi" w:hAnsiTheme="majorHAnsi" w:cstheme="majorHAnsi"/>
          <w:b/>
          <w:iCs/>
          <w:sz w:val="24"/>
          <w:szCs w:val="24"/>
          <w:lang w:val="ro-MD"/>
        </w:rPr>
        <w:t>3</w:t>
      </w:r>
      <w:r w:rsidR="00853D5E" w:rsidRPr="00921938">
        <w:rPr>
          <w:rFonts w:asciiTheme="majorHAnsi" w:hAnsiTheme="majorHAnsi" w:cstheme="majorHAnsi"/>
          <w:b/>
          <w:iCs/>
          <w:sz w:val="24"/>
          <w:szCs w:val="24"/>
          <w:lang w:val="ro-MD"/>
        </w:rPr>
        <w:t xml:space="preserve"> </w:t>
      </w:r>
      <w:r w:rsidR="00853D5E" w:rsidRPr="00921938">
        <w:rPr>
          <w:rFonts w:asciiTheme="majorHAnsi" w:hAnsiTheme="majorHAnsi" w:cstheme="majorHAnsi"/>
          <w:bCs/>
          <w:i/>
          <w:sz w:val="24"/>
          <w:szCs w:val="24"/>
          <w:lang w:val="ro-MD"/>
        </w:rPr>
        <w:t>C</w:t>
      </w:r>
      <w:r w:rsidR="00853D5E" w:rsidRPr="00921938">
        <w:rPr>
          <w:rFonts w:asciiTheme="majorHAnsi" w:eastAsia="Calibri" w:hAnsiTheme="majorHAnsi" w:cstheme="majorHAnsi"/>
          <w:i/>
          <w:sz w:val="24"/>
          <w:szCs w:val="24"/>
          <w:lang w:val="ro-MD"/>
        </w:rPr>
        <w:t xml:space="preserve">heltuielile executate </w:t>
      </w:r>
      <w:r w:rsidR="00413DE1">
        <w:rPr>
          <w:rFonts w:asciiTheme="majorHAnsi" w:eastAsia="Calibri" w:hAnsiTheme="majorHAnsi" w:cstheme="majorHAnsi"/>
          <w:i/>
          <w:sz w:val="24"/>
          <w:szCs w:val="24"/>
          <w:lang w:val="ro-MD"/>
        </w:rPr>
        <w:t>în cadrul</w:t>
      </w:r>
      <w:r w:rsidR="00853D5E" w:rsidRPr="00921938">
        <w:rPr>
          <w:rFonts w:asciiTheme="majorHAnsi" w:eastAsia="Calibri" w:hAnsiTheme="majorHAnsi" w:cstheme="majorHAnsi"/>
          <w:i/>
          <w:sz w:val="24"/>
          <w:szCs w:val="24"/>
          <w:lang w:val="ro-MD"/>
        </w:rPr>
        <w:t xml:space="preserve"> procesului de studii/instruire aferente alocațiilor bugetare și veniturilor proprii nu se utilizează și nu se raportează proporțional numărului de locuri bugetare și în bază de contract existente în cadrul ciclu</w:t>
      </w:r>
      <w:r w:rsidR="00337438">
        <w:rPr>
          <w:rFonts w:asciiTheme="majorHAnsi" w:eastAsia="Calibri" w:hAnsiTheme="majorHAnsi" w:cstheme="majorHAnsi"/>
          <w:i/>
          <w:sz w:val="24"/>
          <w:szCs w:val="24"/>
          <w:lang w:val="ro-MD"/>
        </w:rPr>
        <w:t>rilor</w:t>
      </w:r>
      <w:r w:rsidR="00853D5E" w:rsidRPr="00921938">
        <w:rPr>
          <w:rFonts w:asciiTheme="majorHAnsi" w:eastAsia="Calibri" w:hAnsiTheme="majorHAnsi" w:cstheme="majorHAnsi"/>
          <w:i/>
          <w:sz w:val="24"/>
          <w:szCs w:val="24"/>
          <w:lang w:val="ro-MD"/>
        </w:rPr>
        <w:t xml:space="preserve"> de studii din învățământul superior și </w:t>
      </w:r>
      <w:r w:rsidR="00337438">
        <w:rPr>
          <w:rFonts w:asciiTheme="majorHAnsi" w:eastAsia="Calibri" w:hAnsiTheme="majorHAnsi" w:cstheme="majorHAnsi"/>
          <w:i/>
          <w:sz w:val="24"/>
          <w:szCs w:val="24"/>
          <w:lang w:val="ro-MD"/>
        </w:rPr>
        <w:t xml:space="preserve">cel </w:t>
      </w:r>
      <w:r w:rsidR="00853D5E" w:rsidRPr="00921938">
        <w:rPr>
          <w:rFonts w:asciiTheme="majorHAnsi" w:eastAsia="Calibri" w:hAnsiTheme="majorHAnsi" w:cstheme="majorHAnsi"/>
          <w:i/>
          <w:sz w:val="24"/>
          <w:szCs w:val="24"/>
          <w:lang w:val="ro-MD"/>
        </w:rPr>
        <w:t>profesional tehnic.</w:t>
      </w:r>
      <w:r w:rsidR="00853D5E" w:rsidRPr="00921938">
        <w:rPr>
          <w:rFonts w:asciiTheme="majorHAnsi" w:eastAsia="Calibri" w:hAnsiTheme="majorHAnsi" w:cstheme="majorHAnsi"/>
          <w:b/>
          <w:i/>
          <w:sz w:val="24"/>
          <w:szCs w:val="24"/>
          <w:lang w:val="ro-MD"/>
        </w:rPr>
        <w:t xml:space="preserve"> </w:t>
      </w:r>
      <w:r w:rsidR="00853D5E" w:rsidRPr="00921938">
        <w:rPr>
          <w:rFonts w:asciiTheme="majorHAnsi" w:eastAsia="Calibri" w:hAnsiTheme="majorHAnsi" w:cstheme="majorHAnsi"/>
          <w:sz w:val="24"/>
          <w:szCs w:val="24"/>
          <w:lang w:val="ro-MD"/>
        </w:rPr>
        <w:t>Ca urmare, nu se determină corect costul per student/elev aferent comenzii de stat și în bază de contract, iar o parte din cheltuielile pentru locurile de studii în bază de contract, ca regulă, sunt acoperite din contul alocațiilor bugetare, ceea ce contravine prevederilor art.145 alin.(3) din Codul educației, prin care se reglementează că costul-standard per student/elev constituie baza pentru calcularea taxelor de studii</w:t>
      </w:r>
      <w:r w:rsidR="00853D5E" w:rsidRPr="00921938">
        <w:rPr>
          <w:rStyle w:val="FootnoteReference"/>
          <w:rFonts w:asciiTheme="majorHAnsi" w:eastAsia="Calibri" w:hAnsiTheme="majorHAnsi" w:cstheme="majorHAnsi"/>
          <w:lang w:val="ro-MD"/>
        </w:rPr>
        <w:footnoteReference w:id="32"/>
      </w:r>
      <w:r w:rsidR="00853D5E" w:rsidRPr="00921938">
        <w:rPr>
          <w:rFonts w:asciiTheme="majorHAnsi" w:eastAsia="Calibri" w:hAnsiTheme="majorHAnsi" w:cstheme="majorHAnsi"/>
          <w:sz w:val="24"/>
          <w:szCs w:val="24"/>
          <w:lang w:val="ro-MD"/>
        </w:rPr>
        <w:t>. MECC, potrivit pct.2 din HG nr.649 din 10.07.2018</w:t>
      </w:r>
      <w:r w:rsidR="00853D5E" w:rsidRPr="00921938">
        <w:rPr>
          <w:rStyle w:val="FootnoteReference"/>
          <w:rFonts w:asciiTheme="majorHAnsi" w:eastAsia="Calibri" w:hAnsiTheme="majorHAnsi" w:cstheme="majorHAnsi"/>
          <w:lang w:val="ro-MD"/>
        </w:rPr>
        <w:footnoteReference w:id="33"/>
      </w:r>
      <w:r w:rsidR="00853D5E" w:rsidRPr="00921938">
        <w:rPr>
          <w:rFonts w:asciiTheme="majorHAnsi" w:eastAsia="Calibri" w:hAnsiTheme="majorHAnsi" w:cstheme="majorHAnsi"/>
          <w:sz w:val="24"/>
          <w:szCs w:val="24"/>
          <w:lang w:val="ro-MD"/>
        </w:rPr>
        <w:t xml:space="preserve"> și pct.2 din HG nr.345 din 18.07.2019</w:t>
      </w:r>
      <w:r w:rsidR="00853D5E" w:rsidRPr="00921938">
        <w:rPr>
          <w:rStyle w:val="FootnoteReference"/>
          <w:rFonts w:asciiTheme="majorHAnsi" w:eastAsia="Calibri" w:hAnsiTheme="majorHAnsi" w:cstheme="majorHAnsi"/>
          <w:lang w:val="ro-MD"/>
        </w:rPr>
        <w:footnoteReference w:id="34"/>
      </w:r>
      <w:r w:rsidR="00853D5E" w:rsidRPr="00921938">
        <w:rPr>
          <w:rFonts w:asciiTheme="majorHAnsi" w:eastAsia="Calibri" w:hAnsiTheme="majorHAnsi" w:cstheme="majorHAnsi"/>
          <w:sz w:val="24"/>
          <w:szCs w:val="24"/>
          <w:lang w:val="ro-MD"/>
        </w:rPr>
        <w:t xml:space="preserve">, urma să asigure </w:t>
      </w:r>
      <w:r w:rsidR="00853D5E" w:rsidRPr="00921938">
        <w:rPr>
          <w:rFonts w:asciiTheme="majorHAnsi" w:hAnsiTheme="majorHAnsi" w:cstheme="majorHAnsi"/>
          <w:sz w:val="24"/>
          <w:szCs w:val="24"/>
          <w:lang w:val="ro-MD"/>
        </w:rPr>
        <w:t>utilizarea alocațiilor din bugetul de stat doar pentru pregătirea cadrelor de specialitate cu finanțare bugetară (comanda de stat).</w:t>
      </w:r>
    </w:p>
    <w:p w14:paraId="0F48F3A0" w14:textId="79136CAE" w:rsidR="005048CE" w:rsidRPr="00921938" w:rsidRDefault="00894811" w:rsidP="00325F1F">
      <w:pPr>
        <w:pStyle w:val="ListParagraph"/>
        <w:spacing w:line="276" w:lineRule="auto"/>
        <w:ind w:left="0"/>
        <w:rPr>
          <w:rFonts w:asciiTheme="majorHAnsi" w:hAnsiTheme="majorHAnsi" w:cstheme="majorHAnsi"/>
          <w:i/>
          <w:iCs/>
          <w:sz w:val="24"/>
          <w:szCs w:val="24"/>
          <w:lang w:val="ro-MD"/>
        </w:rPr>
      </w:pPr>
      <w:r>
        <w:rPr>
          <w:rFonts w:asciiTheme="majorHAnsi" w:eastAsia="Calibri" w:hAnsiTheme="majorHAnsi" w:cstheme="majorHAnsi"/>
          <w:i/>
          <w:iCs/>
          <w:sz w:val="24"/>
          <w:szCs w:val="24"/>
          <w:lang w:val="ro-MD"/>
        </w:rPr>
        <w:lastRenderedPageBreak/>
        <w:t>Ca urmare a</w:t>
      </w:r>
      <w:r w:rsidRPr="00921938">
        <w:rPr>
          <w:rFonts w:asciiTheme="majorHAnsi" w:eastAsia="Calibri" w:hAnsiTheme="majorHAnsi" w:cstheme="majorHAnsi"/>
          <w:i/>
          <w:iCs/>
          <w:sz w:val="24"/>
          <w:szCs w:val="24"/>
          <w:lang w:val="ro-MD"/>
        </w:rPr>
        <w:t xml:space="preserve"> </w:t>
      </w:r>
      <w:r w:rsidR="005048CE" w:rsidRPr="00921938">
        <w:rPr>
          <w:rFonts w:asciiTheme="majorHAnsi" w:eastAsia="Calibri" w:hAnsiTheme="majorHAnsi" w:cstheme="majorHAnsi"/>
          <w:i/>
          <w:iCs/>
          <w:sz w:val="24"/>
          <w:szCs w:val="24"/>
          <w:lang w:val="ro-MD"/>
        </w:rPr>
        <w:t>compensării neregulamentare a costurilor aferente studiilor în bază de contract</w:t>
      </w:r>
      <w:r>
        <w:rPr>
          <w:rFonts w:asciiTheme="majorHAnsi" w:eastAsia="Calibri" w:hAnsiTheme="majorHAnsi" w:cstheme="majorHAnsi"/>
          <w:i/>
          <w:iCs/>
          <w:sz w:val="24"/>
          <w:szCs w:val="24"/>
          <w:lang w:val="ro-MD"/>
        </w:rPr>
        <w:t>,</w:t>
      </w:r>
      <w:r w:rsidR="005048CE" w:rsidRPr="00921938">
        <w:rPr>
          <w:rFonts w:asciiTheme="majorHAnsi" w:hAnsiTheme="majorHAnsi" w:cstheme="majorHAnsi"/>
          <w:bCs/>
          <w:i/>
          <w:iCs/>
          <w:sz w:val="24"/>
          <w:szCs w:val="24"/>
          <w:lang w:val="ro-MD"/>
        </w:rPr>
        <w:t xml:space="preserve"> cheltuielil</w:t>
      </w:r>
      <w:r>
        <w:rPr>
          <w:rFonts w:asciiTheme="majorHAnsi" w:hAnsiTheme="majorHAnsi" w:cstheme="majorHAnsi"/>
          <w:bCs/>
          <w:i/>
          <w:iCs/>
          <w:sz w:val="24"/>
          <w:szCs w:val="24"/>
          <w:lang w:val="ro-MD"/>
        </w:rPr>
        <w:t>e</w:t>
      </w:r>
      <w:r w:rsidR="005048CE" w:rsidRPr="00921938">
        <w:rPr>
          <w:rFonts w:asciiTheme="majorHAnsi" w:hAnsiTheme="majorHAnsi" w:cstheme="majorHAnsi"/>
          <w:bCs/>
          <w:i/>
          <w:iCs/>
          <w:sz w:val="24"/>
          <w:szCs w:val="24"/>
          <w:lang w:val="ro-MD"/>
        </w:rPr>
        <w:t xml:space="preserve"> aferente serviciilor pentru realizarea planului „Comenzii de stat”</w:t>
      </w:r>
      <w:r w:rsidR="005048CE" w:rsidRPr="00921938">
        <w:rPr>
          <w:rFonts w:asciiTheme="majorHAnsi" w:eastAsia="Calibri" w:hAnsiTheme="majorHAnsi" w:cstheme="majorHAnsi"/>
          <w:i/>
          <w:iCs/>
          <w:sz w:val="24"/>
          <w:szCs w:val="24"/>
          <w:lang w:val="ro-MD"/>
        </w:rPr>
        <w:t xml:space="preserve"> au fost </w:t>
      </w:r>
      <w:r w:rsidR="005048CE" w:rsidRPr="00921938">
        <w:rPr>
          <w:rFonts w:asciiTheme="majorHAnsi" w:hAnsiTheme="majorHAnsi" w:cstheme="majorHAnsi"/>
          <w:bCs/>
          <w:i/>
          <w:iCs/>
          <w:sz w:val="24"/>
          <w:szCs w:val="24"/>
          <w:lang w:val="ro-MD"/>
        </w:rPr>
        <w:t xml:space="preserve">supraevaluate </w:t>
      </w:r>
      <w:r w:rsidR="005048CE" w:rsidRPr="00921938">
        <w:rPr>
          <w:rFonts w:asciiTheme="majorHAnsi" w:eastAsia="Calibri" w:hAnsiTheme="majorHAnsi" w:cstheme="majorHAnsi"/>
          <w:i/>
          <w:iCs/>
          <w:sz w:val="24"/>
          <w:szCs w:val="24"/>
          <w:lang w:val="ro-MD"/>
        </w:rPr>
        <w:t>cu circa 391,7</w:t>
      </w:r>
      <w:r w:rsidR="00414134">
        <w:rPr>
          <w:rFonts w:asciiTheme="majorHAnsi" w:eastAsia="Calibri" w:hAnsiTheme="majorHAnsi" w:cstheme="majorHAnsi"/>
          <w:i/>
          <w:iCs/>
          <w:sz w:val="24"/>
          <w:szCs w:val="24"/>
          <w:lang w:val="ro-MD"/>
        </w:rPr>
        <w:t xml:space="preserve"> </w:t>
      </w:r>
      <w:r w:rsidR="005048CE" w:rsidRPr="00921938">
        <w:rPr>
          <w:rFonts w:asciiTheme="majorHAnsi" w:eastAsia="Calibri" w:hAnsiTheme="majorHAnsi" w:cstheme="majorHAnsi"/>
          <w:i/>
          <w:iCs/>
          <w:sz w:val="24"/>
          <w:szCs w:val="24"/>
          <w:lang w:val="ro-MD"/>
        </w:rPr>
        <w:t>mil.lei</w:t>
      </w:r>
      <w:r w:rsidR="005048CE" w:rsidRPr="00921938">
        <w:rPr>
          <w:rFonts w:asciiTheme="majorHAnsi" w:eastAsia="Calibri" w:hAnsiTheme="majorHAnsi" w:cstheme="majorHAnsi"/>
          <w:i/>
          <w:iCs/>
          <w:sz w:val="24"/>
          <w:szCs w:val="24"/>
          <w:vertAlign w:val="superscript"/>
          <w:lang w:val="ro-MD"/>
        </w:rPr>
        <w:footnoteReference w:id="35"/>
      </w:r>
      <w:r w:rsidR="005048CE" w:rsidRPr="00921938">
        <w:rPr>
          <w:rFonts w:asciiTheme="majorHAnsi" w:eastAsia="Calibri" w:hAnsiTheme="majorHAnsi" w:cstheme="majorHAnsi"/>
          <w:i/>
          <w:iCs/>
          <w:sz w:val="24"/>
          <w:szCs w:val="24"/>
          <w:lang w:val="ro-MD"/>
        </w:rPr>
        <w:t>.</w:t>
      </w:r>
    </w:p>
    <w:p w14:paraId="5FC2B33A" w14:textId="7A041D89" w:rsidR="00853D5E" w:rsidRPr="00921938" w:rsidRDefault="001A63FE" w:rsidP="00325F1F">
      <w:pPr>
        <w:pStyle w:val="ListParagraph"/>
        <w:spacing w:line="276" w:lineRule="auto"/>
        <w:ind w:left="0"/>
        <w:rPr>
          <w:rFonts w:asciiTheme="majorHAnsi" w:eastAsia="Calibri" w:hAnsiTheme="majorHAnsi" w:cstheme="majorHAnsi"/>
          <w:sz w:val="24"/>
          <w:szCs w:val="24"/>
          <w:lang w:val="ro-MD"/>
        </w:rPr>
      </w:pPr>
      <w:r>
        <w:rPr>
          <w:rFonts w:asciiTheme="majorHAnsi" w:eastAsia="Calibri" w:hAnsiTheme="majorHAnsi" w:cstheme="majorHAnsi"/>
          <w:sz w:val="24"/>
          <w:szCs w:val="24"/>
          <w:lang w:val="ro-MD"/>
        </w:rPr>
        <w:t>Chiar dacă</w:t>
      </w:r>
      <w:r w:rsidR="00853D5E" w:rsidRPr="00921938">
        <w:rPr>
          <w:rFonts w:asciiTheme="majorHAnsi" w:eastAsia="Calibri" w:hAnsiTheme="majorHAnsi" w:cstheme="majorHAnsi"/>
          <w:sz w:val="24"/>
          <w:szCs w:val="24"/>
          <w:lang w:val="ro-MD"/>
        </w:rPr>
        <w:t xml:space="preserve"> instituțiile </w:t>
      </w:r>
      <w:r w:rsidR="004D300D">
        <w:rPr>
          <w:rFonts w:asciiTheme="majorHAnsi" w:eastAsia="Calibri" w:hAnsiTheme="majorHAnsi" w:cstheme="majorHAnsi"/>
          <w:sz w:val="24"/>
          <w:szCs w:val="24"/>
          <w:lang w:val="ro-MD"/>
        </w:rPr>
        <w:t xml:space="preserve">de învățământ </w:t>
      </w:r>
      <w:r w:rsidR="00853D5E" w:rsidRPr="00921938">
        <w:rPr>
          <w:rFonts w:asciiTheme="majorHAnsi" w:eastAsia="Calibri" w:hAnsiTheme="majorHAnsi" w:cstheme="majorHAnsi"/>
          <w:sz w:val="24"/>
          <w:szCs w:val="24"/>
          <w:lang w:val="ro-MD"/>
        </w:rPr>
        <w:t xml:space="preserve">superior și </w:t>
      </w:r>
      <w:r w:rsidR="004D300D">
        <w:rPr>
          <w:rFonts w:asciiTheme="majorHAnsi" w:eastAsia="Calibri" w:hAnsiTheme="majorHAnsi" w:cstheme="majorHAnsi"/>
          <w:sz w:val="24"/>
          <w:szCs w:val="24"/>
          <w:lang w:val="ro-MD"/>
        </w:rPr>
        <w:t xml:space="preserve">de învățământ </w:t>
      </w:r>
      <w:r w:rsidR="00853D5E" w:rsidRPr="00921938">
        <w:rPr>
          <w:rFonts w:asciiTheme="majorHAnsi" w:eastAsia="Calibri" w:hAnsiTheme="majorHAnsi" w:cstheme="majorHAnsi"/>
          <w:sz w:val="24"/>
          <w:szCs w:val="24"/>
          <w:lang w:val="ro-MD"/>
        </w:rPr>
        <w:t xml:space="preserve">profesional tehnic au raportat alocațiile primite din bugetul de stat ca utilizate integral pentru cheltuielile aferente studiilor de la contract, unele </w:t>
      </w:r>
      <w:r>
        <w:rPr>
          <w:rFonts w:asciiTheme="majorHAnsi" w:eastAsia="Calibri" w:hAnsiTheme="majorHAnsi" w:cstheme="majorHAnsi"/>
          <w:sz w:val="24"/>
          <w:szCs w:val="24"/>
          <w:lang w:val="ro-MD"/>
        </w:rPr>
        <w:t>dintre acestea</w:t>
      </w:r>
      <w:r w:rsidR="00853D5E" w:rsidRPr="00921938">
        <w:rPr>
          <w:rFonts w:asciiTheme="majorHAnsi" w:eastAsia="Calibri" w:hAnsiTheme="majorHAnsi" w:cstheme="majorHAnsi"/>
          <w:sz w:val="24"/>
          <w:szCs w:val="24"/>
          <w:lang w:val="ro-MD"/>
        </w:rPr>
        <w:t xml:space="preserve"> înregistrează </w:t>
      </w:r>
      <w:r w:rsidR="004D300D" w:rsidRPr="00921938">
        <w:rPr>
          <w:rFonts w:asciiTheme="majorHAnsi" w:eastAsia="Calibri" w:hAnsiTheme="majorHAnsi" w:cstheme="majorHAnsi"/>
          <w:sz w:val="24"/>
          <w:szCs w:val="24"/>
          <w:lang w:val="ro-MD"/>
        </w:rPr>
        <w:t xml:space="preserve">în conturile </w:t>
      </w:r>
      <w:r w:rsidR="004D300D">
        <w:rPr>
          <w:rFonts w:asciiTheme="majorHAnsi" w:eastAsia="Calibri" w:hAnsiTheme="majorHAnsi" w:cstheme="majorHAnsi"/>
          <w:sz w:val="24"/>
          <w:szCs w:val="24"/>
          <w:lang w:val="ro-MD"/>
        </w:rPr>
        <w:t>lor</w:t>
      </w:r>
      <w:r w:rsidR="004D300D" w:rsidRPr="00921938">
        <w:rPr>
          <w:rFonts w:asciiTheme="majorHAnsi" w:eastAsia="Calibri" w:hAnsiTheme="majorHAnsi" w:cstheme="majorHAnsi"/>
          <w:sz w:val="24"/>
          <w:szCs w:val="24"/>
          <w:lang w:val="ro-MD"/>
        </w:rPr>
        <w:t xml:space="preserve"> de decontare </w:t>
      </w:r>
      <w:r w:rsidR="00853D5E" w:rsidRPr="00921938">
        <w:rPr>
          <w:rFonts w:asciiTheme="majorHAnsi" w:eastAsia="Calibri" w:hAnsiTheme="majorHAnsi" w:cstheme="majorHAnsi"/>
          <w:sz w:val="24"/>
          <w:szCs w:val="24"/>
          <w:lang w:val="ro-MD"/>
        </w:rPr>
        <w:t>sume semnificative de mijloace bănești neutilizate pentru serviciile educaționale</w:t>
      </w:r>
      <w:r w:rsidR="0042648C" w:rsidRPr="00921938">
        <w:rPr>
          <w:rFonts w:asciiTheme="majorHAnsi" w:eastAsia="Calibri" w:hAnsiTheme="majorHAnsi" w:cstheme="majorHAnsi"/>
          <w:sz w:val="24"/>
          <w:szCs w:val="24"/>
          <w:lang w:val="ro-MD"/>
        </w:rPr>
        <w:t>,</w:t>
      </w:r>
      <w:r w:rsidR="007D3EAE" w:rsidRPr="00921938">
        <w:rPr>
          <w:rFonts w:asciiTheme="majorHAnsi" w:eastAsia="Calibri" w:hAnsiTheme="majorHAnsi" w:cstheme="majorHAnsi"/>
          <w:sz w:val="24"/>
          <w:szCs w:val="24"/>
          <w:lang w:val="ro-MD"/>
        </w:rPr>
        <w:t xml:space="preserve"> care </w:t>
      </w:r>
      <w:r w:rsidR="0042648C" w:rsidRPr="00921938">
        <w:rPr>
          <w:rFonts w:asciiTheme="majorHAnsi" w:eastAsia="Calibri" w:hAnsiTheme="majorHAnsi" w:cstheme="majorHAnsi"/>
          <w:sz w:val="24"/>
          <w:szCs w:val="24"/>
          <w:lang w:val="ro-MD"/>
        </w:rPr>
        <w:t>la situația din 31.12.2019 însuma</w:t>
      </w:r>
      <w:r>
        <w:rPr>
          <w:rFonts w:asciiTheme="majorHAnsi" w:eastAsia="Calibri" w:hAnsiTheme="majorHAnsi" w:cstheme="majorHAnsi"/>
          <w:sz w:val="24"/>
          <w:szCs w:val="24"/>
          <w:lang w:val="ro-MD"/>
        </w:rPr>
        <w:t>u</w:t>
      </w:r>
      <w:r w:rsidR="0042648C" w:rsidRPr="00921938">
        <w:rPr>
          <w:rFonts w:asciiTheme="majorHAnsi" w:eastAsia="Calibri" w:hAnsiTheme="majorHAnsi" w:cstheme="majorHAnsi"/>
          <w:sz w:val="24"/>
          <w:szCs w:val="24"/>
          <w:lang w:val="ro-MD"/>
        </w:rPr>
        <w:t xml:space="preserve"> 223</w:t>
      </w:r>
      <w:r w:rsidR="007C6309">
        <w:rPr>
          <w:rFonts w:asciiTheme="majorHAnsi" w:eastAsia="Calibri" w:hAnsiTheme="majorHAnsi" w:cstheme="majorHAnsi"/>
          <w:sz w:val="24"/>
          <w:szCs w:val="24"/>
          <w:lang w:val="ro-MD"/>
        </w:rPr>
        <w:t>,0</w:t>
      </w:r>
      <w:r w:rsidR="0042648C" w:rsidRPr="00921938">
        <w:rPr>
          <w:rFonts w:asciiTheme="majorHAnsi" w:eastAsia="Calibri" w:hAnsiTheme="majorHAnsi" w:cstheme="majorHAnsi"/>
          <w:sz w:val="24"/>
          <w:szCs w:val="24"/>
          <w:lang w:val="ro-MD"/>
        </w:rPr>
        <w:t xml:space="preserve"> mil.lei</w:t>
      </w:r>
      <w:r w:rsidR="00853D5E" w:rsidRPr="00921938">
        <w:rPr>
          <w:rFonts w:asciiTheme="majorHAnsi" w:eastAsia="Calibri" w:hAnsiTheme="majorHAnsi" w:cstheme="majorHAnsi"/>
          <w:sz w:val="24"/>
          <w:szCs w:val="24"/>
          <w:lang w:val="ro-MD"/>
        </w:rPr>
        <w:t>.</w:t>
      </w:r>
    </w:p>
    <w:p w14:paraId="20508023" w14:textId="778627FF" w:rsidR="00853D5E" w:rsidRPr="00921938" w:rsidRDefault="00B06123" w:rsidP="00325F1F">
      <w:pPr>
        <w:pStyle w:val="ListParagraph"/>
        <w:spacing w:line="276" w:lineRule="auto"/>
        <w:ind w:left="0"/>
        <w:rPr>
          <w:rFonts w:asciiTheme="majorHAnsi" w:eastAsia="Calibri" w:hAnsiTheme="majorHAnsi" w:cstheme="majorHAnsi"/>
          <w:i/>
          <w:sz w:val="24"/>
          <w:szCs w:val="24"/>
          <w:lang w:val="ro-MD"/>
        </w:rPr>
      </w:pPr>
      <w:r w:rsidRPr="00921938">
        <w:rPr>
          <w:rFonts w:asciiTheme="majorHAnsi" w:eastAsia="Calibri" w:hAnsiTheme="majorHAnsi" w:cstheme="majorHAnsi"/>
          <w:b/>
          <w:bCs/>
          <w:iCs/>
          <w:sz w:val="24"/>
          <w:szCs w:val="24"/>
          <w:lang w:val="ro-MD"/>
        </w:rPr>
        <w:t>5</w:t>
      </w:r>
      <w:r w:rsidR="00853D5E" w:rsidRPr="00921938">
        <w:rPr>
          <w:rFonts w:asciiTheme="majorHAnsi" w:eastAsia="Calibri" w:hAnsiTheme="majorHAnsi" w:cstheme="majorHAnsi"/>
          <w:b/>
          <w:bCs/>
          <w:iCs/>
          <w:sz w:val="24"/>
          <w:szCs w:val="24"/>
          <w:lang w:val="ro-MD"/>
        </w:rPr>
        <w:t>.</w:t>
      </w:r>
      <w:r w:rsidR="00587722" w:rsidRPr="00921938">
        <w:rPr>
          <w:rFonts w:asciiTheme="majorHAnsi" w:eastAsia="Calibri" w:hAnsiTheme="majorHAnsi" w:cstheme="majorHAnsi"/>
          <w:b/>
          <w:bCs/>
          <w:iCs/>
          <w:sz w:val="24"/>
          <w:szCs w:val="24"/>
          <w:lang w:val="ro-MD"/>
        </w:rPr>
        <w:t>4</w:t>
      </w:r>
      <w:r w:rsidR="00853D5E" w:rsidRPr="00921938">
        <w:rPr>
          <w:rFonts w:asciiTheme="majorHAnsi" w:eastAsia="Calibri" w:hAnsiTheme="majorHAnsi" w:cstheme="majorHAnsi"/>
          <w:b/>
          <w:bCs/>
          <w:iCs/>
          <w:sz w:val="24"/>
          <w:szCs w:val="24"/>
          <w:lang w:val="ro-MD"/>
        </w:rPr>
        <w:t>.</w:t>
      </w:r>
      <w:r w:rsidR="00587722" w:rsidRPr="00921938">
        <w:rPr>
          <w:rFonts w:asciiTheme="majorHAnsi" w:eastAsia="Calibri" w:hAnsiTheme="majorHAnsi" w:cstheme="majorHAnsi"/>
          <w:b/>
          <w:bCs/>
          <w:iCs/>
          <w:sz w:val="24"/>
          <w:szCs w:val="24"/>
          <w:lang w:val="ro-MD"/>
        </w:rPr>
        <w:t>4.</w:t>
      </w:r>
      <w:r w:rsidR="00853D5E" w:rsidRPr="00921938">
        <w:rPr>
          <w:rFonts w:asciiTheme="majorHAnsi" w:eastAsia="Calibri" w:hAnsiTheme="majorHAnsi" w:cstheme="majorHAnsi"/>
          <w:b/>
          <w:bCs/>
          <w:iCs/>
          <w:sz w:val="24"/>
          <w:szCs w:val="24"/>
          <w:lang w:val="ro-MD"/>
        </w:rPr>
        <w:t xml:space="preserve"> </w:t>
      </w:r>
      <w:r w:rsidR="00853D5E" w:rsidRPr="00921938">
        <w:rPr>
          <w:rFonts w:asciiTheme="majorHAnsi" w:eastAsia="Calibri" w:hAnsiTheme="majorHAnsi" w:cstheme="majorHAnsi"/>
          <w:i/>
          <w:sz w:val="24"/>
          <w:szCs w:val="24"/>
          <w:lang w:val="ro-MD"/>
        </w:rPr>
        <w:t xml:space="preserve">Ministerul și instituțiile de învățământ nu au aprobat proceduri interne clare prin care să asigure plasarea absolvenților în câmpul muncii și realizarea mecanismului de restituire la bugetul de stat a cheltuielilor suportate pentru instruirea studenților care au refuzat plasarea obligatorie în câmpul muncii și </w:t>
      </w:r>
      <w:r w:rsidR="00894811">
        <w:rPr>
          <w:rFonts w:asciiTheme="majorHAnsi" w:eastAsia="Calibri" w:hAnsiTheme="majorHAnsi" w:cstheme="majorHAnsi"/>
          <w:i/>
          <w:sz w:val="24"/>
          <w:szCs w:val="24"/>
          <w:lang w:val="ro-MD"/>
        </w:rPr>
        <w:t xml:space="preserve">a </w:t>
      </w:r>
      <w:r w:rsidR="00853D5E" w:rsidRPr="00921938">
        <w:rPr>
          <w:rFonts w:asciiTheme="majorHAnsi" w:eastAsia="Calibri" w:hAnsiTheme="majorHAnsi" w:cstheme="majorHAnsi"/>
          <w:i/>
          <w:sz w:val="24"/>
          <w:szCs w:val="24"/>
          <w:lang w:val="ro-MD"/>
        </w:rPr>
        <w:t xml:space="preserve">celor exmatriculați. </w:t>
      </w:r>
      <w:r w:rsidR="00853D5E" w:rsidRPr="00921938">
        <w:rPr>
          <w:rFonts w:asciiTheme="majorHAnsi" w:eastAsia="Times New Roman" w:hAnsiTheme="majorHAnsi" w:cstheme="majorHAnsi"/>
          <w:bCs/>
          <w:sz w:val="24"/>
          <w:szCs w:val="24"/>
          <w:lang w:val="ro-MD"/>
        </w:rPr>
        <w:t>În context, se atestă lipsa</w:t>
      </w:r>
      <w:r w:rsidR="00853D5E" w:rsidRPr="00921938">
        <w:rPr>
          <w:rFonts w:asciiTheme="majorHAnsi" w:eastAsia="Times New Roman" w:hAnsiTheme="majorHAnsi" w:cstheme="majorHAnsi"/>
          <w:sz w:val="24"/>
          <w:szCs w:val="24"/>
          <w:lang w:val="ro-MD" w:eastAsia="ru-RU"/>
        </w:rPr>
        <w:t xml:space="preserve"> Metodologiei de restituire la bugetul de stat a cheltuielilor pentru instruire, ce urma să fie aprobată în modul stabilit de Guvern</w:t>
      </w:r>
      <w:r w:rsidR="00853D5E" w:rsidRPr="00921938">
        <w:rPr>
          <w:rStyle w:val="FootnoteReference"/>
          <w:rFonts w:asciiTheme="majorHAnsi" w:hAnsiTheme="majorHAnsi" w:cstheme="majorHAnsi"/>
          <w:lang w:val="ro-MD" w:eastAsia="ru-RU"/>
        </w:rPr>
        <w:footnoteReference w:id="36"/>
      </w:r>
      <w:r w:rsidR="00853D5E" w:rsidRPr="00921938">
        <w:rPr>
          <w:rFonts w:asciiTheme="majorHAnsi" w:eastAsia="Times New Roman" w:hAnsiTheme="majorHAnsi" w:cstheme="majorHAnsi"/>
          <w:sz w:val="24"/>
          <w:szCs w:val="24"/>
          <w:lang w:val="ro-MD" w:eastAsia="ru-RU"/>
        </w:rPr>
        <w:t>,</w:t>
      </w:r>
      <w:r w:rsidR="00853D5E" w:rsidRPr="00921938">
        <w:rPr>
          <w:rFonts w:asciiTheme="majorHAnsi" w:eastAsia="Calibri" w:hAnsiTheme="majorHAnsi" w:cstheme="majorHAnsi"/>
          <w:sz w:val="24"/>
          <w:szCs w:val="24"/>
          <w:lang w:val="ro-MD"/>
        </w:rPr>
        <w:t xml:space="preserve"> fapt ce duce la imposibilitatea </w:t>
      </w:r>
      <w:r w:rsidR="003C7E82" w:rsidRPr="00921938">
        <w:rPr>
          <w:rFonts w:asciiTheme="majorHAnsi" w:eastAsia="Times New Roman" w:hAnsiTheme="majorHAnsi" w:cstheme="majorHAnsi"/>
          <w:sz w:val="24"/>
          <w:szCs w:val="24"/>
          <w:lang w:val="ro-MD" w:eastAsia="ru-RU"/>
        </w:rPr>
        <w:t>determinării</w:t>
      </w:r>
      <w:r w:rsidR="00853D5E" w:rsidRPr="00921938">
        <w:rPr>
          <w:rFonts w:asciiTheme="majorHAnsi" w:eastAsia="Times New Roman" w:hAnsiTheme="majorHAnsi" w:cstheme="majorHAnsi"/>
          <w:sz w:val="24"/>
          <w:szCs w:val="24"/>
          <w:lang w:val="ro-MD" w:eastAsia="ru-RU"/>
        </w:rPr>
        <w:t xml:space="preserve"> </w:t>
      </w:r>
      <w:r w:rsidR="003C7E82" w:rsidRPr="00921938">
        <w:rPr>
          <w:rFonts w:asciiTheme="majorHAnsi" w:eastAsia="Times New Roman" w:hAnsiTheme="majorHAnsi" w:cstheme="majorHAnsi"/>
          <w:sz w:val="24"/>
          <w:szCs w:val="24"/>
          <w:lang w:val="ro-MD" w:eastAsia="ru-RU"/>
        </w:rPr>
        <w:t xml:space="preserve">exhaustive a </w:t>
      </w:r>
      <w:r w:rsidR="00853D5E" w:rsidRPr="00921938">
        <w:rPr>
          <w:rFonts w:asciiTheme="majorHAnsi" w:eastAsia="Times New Roman" w:hAnsiTheme="majorHAnsi" w:cstheme="majorHAnsi"/>
          <w:sz w:val="24"/>
          <w:szCs w:val="24"/>
          <w:lang w:val="ro-MD" w:eastAsia="ru-RU"/>
        </w:rPr>
        <w:t>c</w:t>
      </w:r>
      <w:r w:rsidR="003C7E82" w:rsidRPr="00921938">
        <w:rPr>
          <w:rFonts w:asciiTheme="majorHAnsi" w:eastAsia="Times New Roman" w:hAnsiTheme="majorHAnsi" w:cstheme="majorHAnsi"/>
          <w:sz w:val="24"/>
          <w:szCs w:val="24"/>
          <w:lang w:val="ro-MD" w:eastAsia="ru-RU"/>
        </w:rPr>
        <w:t xml:space="preserve">ostului </w:t>
      </w:r>
      <w:r w:rsidR="00853D5E" w:rsidRPr="00921938">
        <w:rPr>
          <w:rFonts w:asciiTheme="majorHAnsi" w:eastAsia="Times New Roman" w:hAnsiTheme="majorHAnsi" w:cstheme="majorHAnsi"/>
          <w:sz w:val="24"/>
          <w:szCs w:val="24"/>
          <w:lang w:val="ro-MD" w:eastAsia="ru-RU"/>
        </w:rPr>
        <w:t>instruir</w:t>
      </w:r>
      <w:r w:rsidR="003C7E82" w:rsidRPr="00921938">
        <w:rPr>
          <w:rFonts w:asciiTheme="majorHAnsi" w:eastAsia="Times New Roman" w:hAnsiTheme="majorHAnsi" w:cstheme="majorHAnsi"/>
          <w:sz w:val="24"/>
          <w:szCs w:val="24"/>
          <w:lang w:val="ro-MD" w:eastAsia="ru-RU"/>
        </w:rPr>
        <w:t>ii. Totuși, unele instituții de învățămînt (</w:t>
      </w:r>
      <w:r w:rsidR="003C7E82" w:rsidRPr="00921938">
        <w:rPr>
          <w:rFonts w:asciiTheme="majorHAnsi" w:eastAsia="Calibri" w:hAnsiTheme="majorHAnsi" w:cstheme="majorHAnsi"/>
          <w:sz w:val="24"/>
          <w:szCs w:val="24"/>
          <w:lang w:val="ro-MD"/>
        </w:rPr>
        <w:t>Colegiul de Industrie Ușoară din Bălți), în baza prevederilor contractuale,</w:t>
      </w:r>
      <w:r w:rsidR="003C7E82" w:rsidRPr="00921938">
        <w:rPr>
          <w:rFonts w:asciiTheme="majorHAnsi" w:eastAsia="Times New Roman" w:hAnsiTheme="majorHAnsi" w:cstheme="majorHAnsi"/>
          <w:sz w:val="24"/>
          <w:szCs w:val="24"/>
          <w:lang w:val="ro-MD" w:eastAsia="ru-RU"/>
        </w:rPr>
        <w:t xml:space="preserve"> </w:t>
      </w:r>
      <w:r w:rsidR="003C7E82" w:rsidRPr="00921938">
        <w:rPr>
          <w:rFonts w:asciiTheme="majorHAnsi" w:eastAsia="Calibri" w:hAnsiTheme="majorHAnsi" w:cstheme="majorHAnsi"/>
          <w:sz w:val="24"/>
          <w:szCs w:val="24"/>
          <w:lang w:val="ro-MD"/>
        </w:rPr>
        <w:t>încep</w:t>
      </w:r>
      <w:r w:rsidR="00521B97">
        <w:rPr>
          <w:rFonts w:asciiTheme="majorHAnsi" w:eastAsia="Calibri" w:hAnsiTheme="majorHAnsi" w:cstheme="majorHAnsi"/>
          <w:sz w:val="24"/>
          <w:szCs w:val="24"/>
          <w:lang w:val="ro-MD"/>
        </w:rPr>
        <w:t>â</w:t>
      </w:r>
      <w:r w:rsidR="003C7E82" w:rsidRPr="00921938">
        <w:rPr>
          <w:rFonts w:asciiTheme="majorHAnsi" w:eastAsia="Calibri" w:hAnsiTheme="majorHAnsi" w:cstheme="majorHAnsi"/>
          <w:sz w:val="24"/>
          <w:szCs w:val="24"/>
          <w:lang w:val="ro-MD"/>
        </w:rPr>
        <w:t xml:space="preserve">nd cu anul 2012 </w:t>
      </w:r>
      <w:r w:rsidR="003C7E82" w:rsidRPr="00921938">
        <w:rPr>
          <w:rFonts w:asciiTheme="majorHAnsi" w:eastAsia="Times New Roman" w:hAnsiTheme="majorHAnsi" w:cstheme="majorHAnsi"/>
          <w:sz w:val="24"/>
          <w:szCs w:val="24"/>
          <w:lang w:val="ro-MD" w:eastAsia="ru-RU"/>
        </w:rPr>
        <w:t xml:space="preserve">a reflectat </w:t>
      </w:r>
      <w:r w:rsidR="00DE377C">
        <w:rPr>
          <w:rFonts w:asciiTheme="majorHAnsi" w:eastAsia="Times New Roman" w:hAnsiTheme="majorHAnsi" w:cstheme="majorHAnsi"/>
          <w:sz w:val="24"/>
          <w:szCs w:val="24"/>
          <w:lang w:val="ro-MD" w:eastAsia="ru-RU"/>
        </w:rPr>
        <w:t xml:space="preserve">la cont extrabilanțier </w:t>
      </w:r>
      <w:r w:rsidR="003C7E82" w:rsidRPr="00921938">
        <w:rPr>
          <w:rFonts w:asciiTheme="majorHAnsi" w:eastAsia="Times New Roman" w:hAnsiTheme="majorHAnsi" w:cstheme="majorHAnsi"/>
          <w:sz w:val="24"/>
          <w:szCs w:val="24"/>
          <w:lang w:val="ro-MD" w:eastAsia="ru-RU"/>
        </w:rPr>
        <w:t xml:space="preserve">ca </w:t>
      </w:r>
      <w:r w:rsidR="00DE377C">
        <w:rPr>
          <w:rFonts w:asciiTheme="majorHAnsi" w:eastAsia="Times New Roman" w:hAnsiTheme="majorHAnsi" w:cstheme="majorHAnsi"/>
          <w:sz w:val="24"/>
          <w:szCs w:val="24"/>
          <w:lang w:val="ro-MD" w:eastAsia="ru-RU"/>
        </w:rPr>
        <w:t>creanțe</w:t>
      </w:r>
      <w:r w:rsidR="003C7E82" w:rsidRPr="00921938">
        <w:rPr>
          <w:rFonts w:asciiTheme="majorHAnsi" w:eastAsia="Times New Roman" w:hAnsiTheme="majorHAnsi" w:cstheme="majorHAnsi"/>
          <w:sz w:val="24"/>
          <w:szCs w:val="24"/>
          <w:lang w:val="ro-MD" w:eastAsia="ru-RU"/>
        </w:rPr>
        <w:t xml:space="preserve"> costurile </w:t>
      </w:r>
      <w:r w:rsidR="003C7E82" w:rsidRPr="00921938">
        <w:rPr>
          <w:rFonts w:asciiTheme="majorHAnsi" w:eastAsia="Calibri" w:hAnsiTheme="majorHAnsi" w:cstheme="majorHAnsi"/>
          <w:sz w:val="24"/>
          <w:szCs w:val="24"/>
          <w:lang w:val="ro-MD"/>
        </w:rPr>
        <w:t>pentru instruirea a 303 studenți exmatriculați</w:t>
      </w:r>
      <w:r w:rsidR="00521B97">
        <w:rPr>
          <w:rFonts w:asciiTheme="majorHAnsi" w:eastAsia="Calibri" w:hAnsiTheme="majorHAnsi" w:cstheme="majorHAnsi"/>
          <w:sz w:val="24"/>
          <w:szCs w:val="24"/>
          <w:lang w:val="ro-MD"/>
        </w:rPr>
        <w:t>,</w:t>
      </w:r>
      <w:r w:rsidR="003C7E82" w:rsidRPr="00921938">
        <w:rPr>
          <w:rFonts w:asciiTheme="majorHAnsi" w:eastAsia="Calibri" w:hAnsiTheme="majorHAnsi" w:cstheme="majorHAnsi"/>
          <w:sz w:val="24"/>
          <w:szCs w:val="24"/>
          <w:lang w:val="ro-MD"/>
        </w:rPr>
        <w:t xml:space="preserve"> în sumă totală de 3228,6 mii lei</w:t>
      </w:r>
      <w:r w:rsidR="00853D5E" w:rsidRPr="00921938">
        <w:rPr>
          <w:rFonts w:asciiTheme="majorHAnsi" w:eastAsia="Times New Roman" w:hAnsiTheme="majorHAnsi" w:cstheme="majorHAnsi"/>
          <w:sz w:val="24"/>
          <w:szCs w:val="24"/>
          <w:lang w:val="ro-MD" w:eastAsia="ru-RU"/>
        </w:rPr>
        <w:t xml:space="preserve">, </w:t>
      </w:r>
      <w:r w:rsidR="003C7E82" w:rsidRPr="00921938">
        <w:rPr>
          <w:rFonts w:asciiTheme="majorHAnsi" w:eastAsia="Times New Roman" w:hAnsiTheme="majorHAnsi" w:cstheme="majorHAnsi"/>
          <w:sz w:val="24"/>
          <w:szCs w:val="24"/>
          <w:lang w:val="ro-MD" w:eastAsia="ru-RU"/>
        </w:rPr>
        <w:t xml:space="preserve">din care </w:t>
      </w:r>
      <w:r w:rsidR="003C7E82" w:rsidRPr="00921938">
        <w:rPr>
          <w:rFonts w:asciiTheme="majorHAnsi" w:eastAsia="Calibri" w:hAnsiTheme="majorHAnsi" w:cstheme="majorHAnsi"/>
          <w:sz w:val="24"/>
          <w:szCs w:val="24"/>
          <w:lang w:val="ro-MD"/>
        </w:rPr>
        <w:t>în 2019 a</w:t>
      </w:r>
      <w:r w:rsidR="0072333F" w:rsidRPr="00921938">
        <w:rPr>
          <w:rFonts w:asciiTheme="majorHAnsi" w:eastAsia="Calibri" w:hAnsiTheme="majorHAnsi" w:cstheme="majorHAnsi"/>
          <w:sz w:val="24"/>
          <w:szCs w:val="24"/>
          <w:lang w:val="ro-MD"/>
        </w:rPr>
        <w:t>u</w:t>
      </w:r>
      <w:r w:rsidR="003C7E82" w:rsidRPr="00921938">
        <w:rPr>
          <w:rFonts w:asciiTheme="majorHAnsi" w:eastAsia="Calibri" w:hAnsiTheme="majorHAnsi" w:cstheme="majorHAnsi"/>
          <w:sz w:val="24"/>
          <w:szCs w:val="24"/>
          <w:lang w:val="ro-MD"/>
        </w:rPr>
        <w:t xml:space="preserve"> fost restituiți la buget 18,3 mii lei. </w:t>
      </w:r>
      <w:r w:rsidR="0072333F" w:rsidRPr="00921938">
        <w:rPr>
          <w:rFonts w:asciiTheme="majorHAnsi" w:eastAsia="Times New Roman" w:hAnsiTheme="majorHAnsi" w:cstheme="majorHAnsi"/>
          <w:sz w:val="24"/>
          <w:szCs w:val="24"/>
          <w:lang w:val="ro-MD" w:eastAsia="ru-RU"/>
        </w:rPr>
        <w:t>În alt caz</w:t>
      </w:r>
      <w:r w:rsidR="0072333F" w:rsidRPr="00921938">
        <w:rPr>
          <w:rFonts w:asciiTheme="majorHAnsi" w:eastAsia="Calibri" w:hAnsiTheme="majorHAnsi" w:cstheme="majorHAnsi"/>
          <w:sz w:val="24"/>
          <w:szCs w:val="24"/>
          <w:lang w:val="ro-MD"/>
        </w:rPr>
        <w:t>, US Comrat a inițiat un litigiu de judecat</w:t>
      </w:r>
      <w:r w:rsidR="00521B97">
        <w:rPr>
          <w:rFonts w:asciiTheme="majorHAnsi" w:eastAsia="Calibri" w:hAnsiTheme="majorHAnsi" w:cstheme="majorHAnsi"/>
          <w:sz w:val="24"/>
          <w:szCs w:val="24"/>
          <w:lang w:val="ro-MD"/>
        </w:rPr>
        <w:t>ă</w:t>
      </w:r>
      <w:r w:rsidR="0072333F" w:rsidRPr="00921938">
        <w:rPr>
          <w:rFonts w:asciiTheme="majorHAnsi" w:eastAsia="Calibri" w:hAnsiTheme="majorHAnsi" w:cstheme="majorHAnsi"/>
          <w:sz w:val="24"/>
          <w:szCs w:val="24"/>
          <w:vertAlign w:val="superscript"/>
          <w:lang w:val="ro-MD"/>
        </w:rPr>
        <w:footnoteReference w:id="37"/>
      </w:r>
      <w:r w:rsidR="0072333F" w:rsidRPr="00921938">
        <w:rPr>
          <w:rFonts w:asciiTheme="majorHAnsi" w:eastAsia="Calibri" w:hAnsiTheme="majorHAnsi" w:cstheme="majorHAnsi"/>
          <w:sz w:val="24"/>
          <w:szCs w:val="24"/>
          <w:lang w:val="ro-MD"/>
        </w:rPr>
        <w:t xml:space="preserve"> pentru a recupera cheltuielile respective în sum</w:t>
      </w:r>
      <w:r w:rsidR="00521B97">
        <w:rPr>
          <w:rFonts w:asciiTheme="majorHAnsi" w:eastAsia="Calibri" w:hAnsiTheme="majorHAnsi" w:cstheme="majorHAnsi"/>
          <w:sz w:val="24"/>
          <w:szCs w:val="24"/>
          <w:lang w:val="ro-MD"/>
        </w:rPr>
        <w:t>ă</w:t>
      </w:r>
      <w:r w:rsidR="0072333F" w:rsidRPr="00921938">
        <w:rPr>
          <w:rFonts w:asciiTheme="majorHAnsi" w:eastAsia="Calibri" w:hAnsiTheme="majorHAnsi" w:cstheme="majorHAnsi"/>
          <w:sz w:val="24"/>
          <w:szCs w:val="24"/>
          <w:lang w:val="ro-MD"/>
        </w:rPr>
        <w:t xml:space="preserve"> de 682,3 mii lei</w:t>
      </w:r>
      <w:r w:rsidR="0072333F" w:rsidRPr="00921938">
        <w:rPr>
          <w:rFonts w:asciiTheme="majorHAnsi" w:eastAsia="Calibri" w:hAnsiTheme="majorHAnsi" w:cstheme="majorHAnsi"/>
          <w:sz w:val="24"/>
          <w:szCs w:val="24"/>
          <w:vertAlign w:val="superscript"/>
          <w:lang w:val="ro-MD"/>
        </w:rPr>
        <w:footnoteReference w:id="38"/>
      </w:r>
      <w:r w:rsidR="0072333F" w:rsidRPr="00921938">
        <w:rPr>
          <w:rFonts w:asciiTheme="majorHAnsi" w:eastAsia="Calibri" w:hAnsiTheme="majorHAnsi" w:cstheme="majorHAnsi"/>
          <w:sz w:val="24"/>
          <w:szCs w:val="24"/>
          <w:lang w:val="ro-MD"/>
        </w:rPr>
        <w:t>, însă s-a constatat că U</w:t>
      </w:r>
      <w:r w:rsidR="00521B97">
        <w:rPr>
          <w:rFonts w:asciiTheme="majorHAnsi" w:eastAsia="Calibri" w:hAnsiTheme="majorHAnsi" w:cstheme="majorHAnsi"/>
          <w:sz w:val="24"/>
          <w:szCs w:val="24"/>
          <w:lang w:val="ro-MD"/>
        </w:rPr>
        <w:t>niversitatea</w:t>
      </w:r>
      <w:r w:rsidR="0072333F" w:rsidRPr="00921938">
        <w:rPr>
          <w:rFonts w:asciiTheme="majorHAnsi" w:eastAsia="Calibri" w:hAnsiTheme="majorHAnsi" w:cstheme="majorHAnsi"/>
          <w:sz w:val="24"/>
          <w:szCs w:val="24"/>
          <w:lang w:val="ro-MD"/>
        </w:rPr>
        <w:t xml:space="preserve"> nu este distribuitor și ordonator al fondurilor bugetare</w:t>
      </w:r>
      <w:r w:rsidR="006323D0" w:rsidRPr="00921938">
        <w:rPr>
          <w:rFonts w:asciiTheme="majorHAnsi" w:eastAsia="Calibri" w:hAnsiTheme="majorHAnsi" w:cstheme="majorHAnsi"/>
          <w:sz w:val="24"/>
          <w:szCs w:val="24"/>
          <w:lang w:val="ro-MD"/>
        </w:rPr>
        <w:t>, deci nu aceasta trebuie să inițieze litigiul</w:t>
      </w:r>
      <w:r w:rsidR="00521B97">
        <w:rPr>
          <w:rFonts w:asciiTheme="majorHAnsi" w:eastAsia="Calibri" w:hAnsiTheme="majorHAnsi" w:cstheme="majorHAnsi"/>
          <w:sz w:val="24"/>
          <w:szCs w:val="24"/>
          <w:lang w:val="ro-MD"/>
        </w:rPr>
        <w:t>,</w:t>
      </w:r>
      <w:r w:rsidR="006323D0" w:rsidRPr="00921938">
        <w:rPr>
          <w:rFonts w:asciiTheme="majorHAnsi" w:eastAsia="Calibri" w:hAnsiTheme="majorHAnsi" w:cstheme="majorHAnsi"/>
          <w:sz w:val="24"/>
          <w:szCs w:val="24"/>
          <w:lang w:val="ro-MD"/>
        </w:rPr>
        <w:t xml:space="preserve"> ci MECC</w:t>
      </w:r>
      <w:r w:rsidR="0072333F" w:rsidRPr="00921938">
        <w:rPr>
          <w:rFonts w:asciiTheme="majorHAnsi" w:eastAsia="Calibri" w:hAnsiTheme="majorHAnsi" w:cstheme="majorHAnsi"/>
          <w:sz w:val="24"/>
          <w:szCs w:val="24"/>
          <w:lang w:val="ro-MD"/>
        </w:rPr>
        <w:t>.</w:t>
      </w:r>
      <w:r w:rsidR="006323D0" w:rsidRPr="00921938">
        <w:rPr>
          <w:rFonts w:asciiTheme="majorHAnsi" w:eastAsia="Calibri" w:hAnsiTheme="majorHAnsi" w:cstheme="majorHAnsi"/>
          <w:sz w:val="24"/>
          <w:szCs w:val="24"/>
          <w:lang w:val="ro-MD"/>
        </w:rPr>
        <w:t xml:space="preserve"> Neurmărirea de către MECC a reflectării de către instituții a acestor datorii</w:t>
      </w:r>
      <w:r w:rsidR="00521B97">
        <w:rPr>
          <w:rFonts w:asciiTheme="majorHAnsi" w:eastAsia="Calibri" w:hAnsiTheme="majorHAnsi" w:cstheme="majorHAnsi"/>
          <w:sz w:val="24"/>
          <w:szCs w:val="24"/>
          <w:lang w:val="ro-MD"/>
        </w:rPr>
        <w:t xml:space="preserve"> generează</w:t>
      </w:r>
      <w:r w:rsidR="006323D0" w:rsidRPr="00921938">
        <w:rPr>
          <w:rFonts w:asciiTheme="majorHAnsi" w:eastAsia="Calibri" w:hAnsiTheme="majorHAnsi" w:cstheme="majorHAnsi"/>
          <w:sz w:val="24"/>
          <w:szCs w:val="24"/>
          <w:lang w:val="ro-MD"/>
        </w:rPr>
        <w:t xml:space="preserve"> imposibilitatea determinării </w:t>
      </w:r>
      <w:r w:rsidR="00853D5E" w:rsidRPr="00921938">
        <w:rPr>
          <w:rFonts w:asciiTheme="majorHAnsi" w:eastAsia="Calibri" w:hAnsiTheme="majorHAnsi" w:cstheme="majorHAnsi"/>
          <w:sz w:val="24"/>
          <w:szCs w:val="24"/>
          <w:lang w:val="ro-MD"/>
        </w:rPr>
        <w:t xml:space="preserve">cheltuielilor ce trebuiau recuperate de </w:t>
      </w:r>
      <w:r w:rsidR="00521B97">
        <w:rPr>
          <w:rFonts w:asciiTheme="majorHAnsi" w:eastAsia="Calibri" w:hAnsiTheme="majorHAnsi" w:cstheme="majorHAnsi"/>
          <w:sz w:val="24"/>
          <w:szCs w:val="24"/>
          <w:lang w:val="ro-MD"/>
        </w:rPr>
        <w:t>la</w:t>
      </w:r>
      <w:r w:rsidR="00853D5E" w:rsidRPr="00921938">
        <w:rPr>
          <w:rFonts w:asciiTheme="majorHAnsi" w:eastAsia="Calibri" w:hAnsiTheme="majorHAnsi" w:cstheme="majorHAnsi"/>
          <w:sz w:val="24"/>
          <w:szCs w:val="24"/>
          <w:lang w:val="ro-MD"/>
        </w:rPr>
        <w:t xml:space="preserve"> elevii/studenții care nu s-au prezentat la locurile de muncă conform repartizării sau care au fost exmatriculați</w:t>
      </w:r>
      <w:r w:rsidR="00853D5E" w:rsidRPr="00921938">
        <w:rPr>
          <w:rStyle w:val="FootnoteReference"/>
          <w:rFonts w:asciiTheme="majorHAnsi" w:eastAsia="Calibri" w:hAnsiTheme="majorHAnsi" w:cstheme="majorHAnsi"/>
          <w:lang w:val="ro-MD"/>
        </w:rPr>
        <w:footnoteReference w:id="39"/>
      </w:r>
      <w:r w:rsidR="00853D5E" w:rsidRPr="00921938">
        <w:rPr>
          <w:rFonts w:asciiTheme="majorHAnsi" w:eastAsia="Calibri" w:hAnsiTheme="majorHAnsi" w:cstheme="majorHAnsi"/>
          <w:sz w:val="24"/>
          <w:szCs w:val="24"/>
          <w:lang w:val="ro-MD"/>
        </w:rPr>
        <w:t>.</w:t>
      </w:r>
    </w:p>
    <w:p w14:paraId="4B50800D" w14:textId="340C6136" w:rsidR="00853D5E" w:rsidRPr="00921938" w:rsidRDefault="00853D5E" w:rsidP="00325F1F">
      <w:pPr>
        <w:spacing w:after="0" w:line="276" w:lineRule="auto"/>
        <w:jc w:val="both"/>
        <w:rPr>
          <w:rFonts w:asciiTheme="majorHAnsi" w:eastAsia="Calibri" w:hAnsiTheme="majorHAnsi" w:cstheme="majorHAnsi"/>
          <w:i/>
          <w:sz w:val="24"/>
          <w:szCs w:val="24"/>
          <w:lang w:val="ro-MD"/>
        </w:rPr>
      </w:pPr>
      <w:r w:rsidRPr="00921938">
        <w:rPr>
          <w:rFonts w:asciiTheme="majorHAnsi" w:eastAsia="Calibri" w:hAnsiTheme="majorHAnsi" w:cstheme="majorHAnsi"/>
          <w:sz w:val="24"/>
          <w:szCs w:val="24"/>
          <w:lang w:val="ro-MD"/>
        </w:rPr>
        <w:t xml:space="preserve">Potrivit datelor prezentate de către instituțiile de învățământ superior și </w:t>
      </w:r>
      <w:r w:rsidRPr="00921938">
        <w:rPr>
          <w:rFonts w:asciiTheme="majorHAnsi" w:eastAsia="Times New Roman" w:hAnsiTheme="majorHAnsi" w:cstheme="majorHAnsi"/>
          <w:sz w:val="24"/>
          <w:szCs w:val="24"/>
          <w:lang w:val="ro-MD" w:eastAsia="ru-RU"/>
        </w:rPr>
        <w:t>profesional tehnic postsecundar/nonterţiar</w:t>
      </w:r>
      <w:r w:rsidRPr="00921938">
        <w:rPr>
          <w:rFonts w:asciiTheme="majorHAnsi" w:eastAsia="Calibri" w:hAnsiTheme="majorHAnsi" w:cstheme="majorHAnsi"/>
          <w:sz w:val="24"/>
          <w:szCs w:val="24"/>
          <w:lang w:val="ro-MD"/>
        </w:rPr>
        <w:t>, în anul 2019 în total au absolvit 7604</w:t>
      </w:r>
      <w:r w:rsidRPr="00921938">
        <w:rPr>
          <w:rFonts w:asciiTheme="majorHAnsi" w:eastAsia="Calibri" w:hAnsiTheme="majorHAnsi" w:cstheme="majorHAnsi"/>
          <w:sz w:val="24"/>
          <w:szCs w:val="24"/>
          <w:vertAlign w:val="superscript"/>
          <w:lang w:val="ro-MD"/>
        </w:rPr>
        <w:footnoteReference w:id="40"/>
      </w:r>
      <w:r w:rsidRPr="00921938">
        <w:rPr>
          <w:rFonts w:asciiTheme="majorHAnsi" w:eastAsia="Calibri" w:hAnsiTheme="majorHAnsi" w:cstheme="majorHAnsi"/>
          <w:sz w:val="24"/>
          <w:szCs w:val="24"/>
          <w:lang w:val="ro-MD"/>
        </w:rPr>
        <w:t xml:space="preserve"> de studenți cu finanțare din buget, din</w:t>
      </w:r>
      <w:r w:rsidR="00EC2DE6">
        <w:rPr>
          <w:rFonts w:asciiTheme="majorHAnsi" w:eastAsia="Calibri" w:hAnsiTheme="majorHAnsi" w:cstheme="majorHAnsi"/>
          <w:sz w:val="24"/>
          <w:szCs w:val="24"/>
          <w:lang w:val="ro-MD"/>
        </w:rPr>
        <w:t>tre</w:t>
      </w:r>
      <w:r w:rsidRPr="00921938">
        <w:rPr>
          <w:rFonts w:asciiTheme="majorHAnsi" w:eastAsia="Calibri" w:hAnsiTheme="majorHAnsi" w:cstheme="majorHAnsi"/>
          <w:sz w:val="24"/>
          <w:szCs w:val="24"/>
          <w:lang w:val="ro-MD"/>
        </w:rPr>
        <w:t xml:space="preserve"> care 1333</w:t>
      </w:r>
      <w:r w:rsidRPr="00921938">
        <w:rPr>
          <w:rFonts w:asciiTheme="majorHAnsi" w:eastAsia="Calibri" w:hAnsiTheme="majorHAnsi" w:cstheme="majorHAnsi"/>
          <w:sz w:val="24"/>
          <w:szCs w:val="24"/>
          <w:vertAlign w:val="superscript"/>
          <w:lang w:val="ro-MD"/>
        </w:rPr>
        <w:footnoteReference w:id="41"/>
      </w:r>
      <w:r w:rsidRPr="00921938">
        <w:rPr>
          <w:rFonts w:asciiTheme="majorHAnsi" w:eastAsia="Calibri" w:hAnsiTheme="majorHAnsi" w:cstheme="majorHAnsi"/>
          <w:sz w:val="24"/>
          <w:szCs w:val="24"/>
          <w:lang w:val="ro-MD"/>
        </w:rPr>
        <w:t xml:space="preserve"> (17,5%) s-au încadrat în câmpul muncii conform calificărilor obținute, </w:t>
      </w:r>
      <w:r w:rsidR="00A90362">
        <w:rPr>
          <w:rFonts w:asciiTheme="majorHAnsi" w:eastAsia="Calibri" w:hAnsiTheme="majorHAnsi" w:cstheme="majorHAnsi"/>
          <w:sz w:val="24"/>
          <w:szCs w:val="24"/>
          <w:lang w:val="ro-MD"/>
        </w:rPr>
        <w:t xml:space="preserve">iar </w:t>
      </w:r>
      <w:r w:rsidRPr="00921938">
        <w:rPr>
          <w:rFonts w:asciiTheme="majorHAnsi" w:eastAsia="Calibri" w:hAnsiTheme="majorHAnsi" w:cstheme="majorHAnsi"/>
          <w:sz w:val="24"/>
          <w:szCs w:val="24"/>
          <w:lang w:val="ro-MD"/>
        </w:rPr>
        <w:t>1399</w:t>
      </w:r>
      <w:r w:rsidRPr="00921938">
        <w:rPr>
          <w:rFonts w:asciiTheme="majorHAnsi" w:eastAsia="Calibri" w:hAnsiTheme="majorHAnsi" w:cstheme="majorHAnsi"/>
          <w:sz w:val="24"/>
          <w:szCs w:val="24"/>
          <w:vertAlign w:val="superscript"/>
          <w:lang w:val="ro-MD"/>
        </w:rPr>
        <w:footnoteReference w:id="42"/>
      </w:r>
      <w:r w:rsidRPr="00921938">
        <w:rPr>
          <w:rFonts w:asciiTheme="majorHAnsi" w:eastAsia="Calibri" w:hAnsiTheme="majorHAnsi" w:cstheme="majorHAnsi"/>
          <w:sz w:val="24"/>
          <w:szCs w:val="24"/>
          <w:lang w:val="ro-MD"/>
        </w:rPr>
        <w:t xml:space="preserve"> (18,4%) și-au continuat studiile în instituțiile de învățământ sau au fost încorporați în serviciul militar</w:t>
      </w:r>
      <w:r w:rsidRPr="00921938">
        <w:rPr>
          <w:rFonts w:asciiTheme="majorHAnsi" w:eastAsia="Calibri" w:hAnsiTheme="majorHAnsi" w:cstheme="majorHAnsi"/>
          <w:i/>
          <w:sz w:val="24"/>
          <w:szCs w:val="24"/>
          <w:lang w:val="ro-MD"/>
        </w:rPr>
        <w:t xml:space="preserve">. Rezultatul scăzut </w:t>
      </w:r>
      <w:r w:rsidR="00EC2DE6">
        <w:rPr>
          <w:rFonts w:asciiTheme="majorHAnsi" w:eastAsia="Calibri" w:hAnsiTheme="majorHAnsi" w:cstheme="majorHAnsi"/>
          <w:i/>
          <w:sz w:val="24"/>
          <w:szCs w:val="24"/>
          <w:lang w:val="ro-MD"/>
        </w:rPr>
        <w:t>privind</w:t>
      </w:r>
      <w:r w:rsidRPr="00921938">
        <w:rPr>
          <w:rFonts w:asciiTheme="majorHAnsi" w:eastAsia="Calibri" w:hAnsiTheme="majorHAnsi" w:cstheme="majorHAnsi"/>
          <w:i/>
          <w:sz w:val="24"/>
          <w:szCs w:val="24"/>
          <w:lang w:val="ro-MD"/>
        </w:rPr>
        <w:t xml:space="preserve"> angajare</w:t>
      </w:r>
      <w:r w:rsidR="00EC2DE6">
        <w:rPr>
          <w:rFonts w:asciiTheme="majorHAnsi" w:eastAsia="Calibri" w:hAnsiTheme="majorHAnsi" w:cstheme="majorHAnsi"/>
          <w:i/>
          <w:sz w:val="24"/>
          <w:szCs w:val="24"/>
          <w:lang w:val="ro-MD"/>
        </w:rPr>
        <w:t>a</w:t>
      </w:r>
      <w:r w:rsidRPr="00921938">
        <w:rPr>
          <w:rFonts w:asciiTheme="majorHAnsi" w:eastAsia="Calibri" w:hAnsiTheme="majorHAnsi" w:cstheme="majorHAnsi"/>
          <w:i/>
          <w:sz w:val="24"/>
          <w:szCs w:val="24"/>
          <w:lang w:val="ro-MD"/>
        </w:rPr>
        <w:t xml:space="preserve"> în câmpul muncii se </w:t>
      </w:r>
      <w:r w:rsidR="00EC2DE6">
        <w:rPr>
          <w:rFonts w:asciiTheme="majorHAnsi" w:eastAsia="Calibri" w:hAnsiTheme="majorHAnsi" w:cstheme="majorHAnsi"/>
          <w:i/>
          <w:sz w:val="24"/>
          <w:szCs w:val="24"/>
          <w:lang w:val="ro-MD"/>
        </w:rPr>
        <w:t xml:space="preserve">explică prin </w:t>
      </w:r>
      <w:r w:rsidRPr="00921938">
        <w:rPr>
          <w:rFonts w:asciiTheme="majorHAnsi" w:eastAsia="Calibri" w:hAnsiTheme="majorHAnsi" w:cstheme="majorHAnsi"/>
          <w:i/>
          <w:sz w:val="24"/>
          <w:szCs w:val="24"/>
          <w:lang w:val="ro-MD"/>
        </w:rPr>
        <w:t xml:space="preserve">faptul că MECC nu dispune de locuri de muncă asigurate pentru toți studenții care </w:t>
      </w:r>
      <w:r w:rsidR="00A90362">
        <w:rPr>
          <w:rFonts w:asciiTheme="majorHAnsi" w:eastAsia="Calibri" w:hAnsiTheme="majorHAnsi" w:cstheme="majorHAnsi"/>
          <w:i/>
          <w:sz w:val="24"/>
          <w:szCs w:val="24"/>
          <w:lang w:val="ro-MD"/>
        </w:rPr>
        <w:t xml:space="preserve">își </w:t>
      </w:r>
      <w:r w:rsidR="00EC2DE6">
        <w:rPr>
          <w:rFonts w:asciiTheme="majorHAnsi" w:eastAsia="Calibri" w:hAnsiTheme="majorHAnsi" w:cstheme="majorHAnsi"/>
          <w:i/>
          <w:sz w:val="24"/>
          <w:szCs w:val="24"/>
          <w:lang w:val="ro-MD"/>
        </w:rPr>
        <w:t>încheie</w:t>
      </w:r>
      <w:r w:rsidR="00EC2DE6" w:rsidRPr="00921938">
        <w:rPr>
          <w:rFonts w:asciiTheme="majorHAnsi" w:eastAsia="Calibri" w:hAnsiTheme="majorHAnsi" w:cstheme="majorHAnsi"/>
          <w:i/>
          <w:sz w:val="24"/>
          <w:szCs w:val="24"/>
          <w:lang w:val="ro-MD"/>
        </w:rPr>
        <w:t xml:space="preserve"> </w:t>
      </w:r>
      <w:r w:rsidRPr="00921938">
        <w:rPr>
          <w:rFonts w:asciiTheme="majorHAnsi" w:eastAsia="Calibri" w:hAnsiTheme="majorHAnsi" w:cstheme="majorHAnsi"/>
          <w:i/>
          <w:sz w:val="24"/>
          <w:szCs w:val="24"/>
          <w:lang w:val="ro-MD"/>
        </w:rPr>
        <w:t>studiile. Se menționează că MECC elaborează anual oferta privind posturile vacante</w:t>
      </w:r>
      <w:r w:rsidR="00A90362">
        <w:rPr>
          <w:rFonts w:asciiTheme="majorHAnsi" w:eastAsia="Calibri" w:hAnsiTheme="majorHAnsi" w:cstheme="majorHAnsi"/>
          <w:i/>
          <w:sz w:val="24"/>
          <w:szCs w:val="24"/>
          <w:lang w:val="ro-MD"/>
        </w:rPr>
        <w:t>, pentru</w:t>
      </w:r>
      <w:r w:rsidRPr="00921938">
        <w:rPr>
          <w:rFonts w:asciiTheme="majorHAnsi" w:eastAsia="Calibri" w:hAnsiTheme="majorHAnsi" w:cstheme="majorHAnsi"/>
          <w:i/>
          <w:sz w:val="24"/>
          <w:szCs w:val="24"/>
          <w:lang w:val="ro-MD"/>
        </w:rPr>
        <w:t xml:space="preserve"> instituțiile de învățământ</w:t>
      </w:r>
      <w:r w:rsidR="00A90362">
        <w:rPr>
          <w:rFonts w:asciiTheme="majorHAnsi" w:eastAsia="Calibri" w:hAnsiTheme="majorHAnsi" w:cstheme="majorHAnsi"/>
          <w:i/>
          <w:sz w:val="24"/>
          <w:szCs w:val="24"/>
          <w:lang w:val="ro-MD"/>
        </w:rPr>
        <w:t>,</w:t>
      </w:r>
      <w:r w:rsidRPr="00921938">
        <w:rPr>
          <w:rFonts w:asciiTheme="majorHAnsi" w:eastAsia="Calibri" w:hAnsiTheme="majorHAnsi" w:cstheme="majorHAnsi"/>
          <w:i/>
          <w:sz w:val="24"/>
          <w:szCs w:val="24"/>
          <w:lang w:val="ro-MD"/>
        </w:rPr>
        <w:t xml:space="preserve"> în vederea repartizării absolvenților </w:t>
      </w:r>
      <w:r w:rsidR="00A90362">
        <w:rPr>
          <w:rFonts w:asciiTheme="majorHAnsi" w:eastAsia="Calibri" w:hAnsiTheme="majorHAnsi" w:cstheme="majorHAnsi"/>
          <w:i/>
          <w:sz w:val="24"/>
          <w:szCs w:val="24"/>
          <w:lang w:val="ro-MD"/>
        </w:rPr>
        <w:t xml:space="preserve">la </w:t>
      </w:r>
      <w:r w:rsidRPr="00921938">
        <w:rPr>
          <w:rFonts w:asciiTheme="majorHAnsi" w:eastAsia="Calibri" w:hAnsiTheme="majorHAnsi" w:cstheme="majorHAnsi"/>
          <w:i/>
          <w:sz w:val="24"/>
          <w:szCs w:val="24"/>
          <w:lang w:val="ro-MD"/>
        </w:rPr>
        <w:t>programel</w:t>
      </w:r>
      <w:r w:rsidR="00A90362">
        <w:rPr>
          <w:rFonts w:asciiTheme="majorHAnsi" w:eastAsia="Calibri" w:hAnsiTheme="majorHAnsi" w:cstheme="majorHAnsi"/>
          <w:i/>
          <w:sz w:val="24"/>
          <w:szCs w:val="24"/>
          <w:lang w:val="ro-MD"/>
        </w:rPr>
        <w:t>e</w:t>
      </w:r>
      <w:r w:rsidRPr="00921938">
        <w:rPr>
          <w:rFonts w:asciiTheme="majorHAnsi" w:eastAsia="Calibri" w:hAnsiTheme="majorHAnsi" w:cstheme="majorHAnsi"/>
          <w:i/>
          <w:sz w:val="24"/>
          <w:szCs w:val="24"/>
          <w:lang w:val="ro-MD"/>
        </w:rPr>
        <w:t xml:space="preserve"> de studii doar din domeniul Educație/Științe ale educației.</w:t>
      </w:r>
    </w:p>
    <w:p w14:paraId="6A4D5B8C" w14:textId="40D2D134" w:rsidR="00853D5E" w:rsidRPr="00921938" w:rsidRDefault="00A90362" w:rsidP="00325F1F">
      <w:pPr>
        <w:spacing w:after="0" w:line="276" w:lineRule="auto"/>
        <w:contextualSpacing/>
        <w:jc w:val="both"/>
        <w:rPr>
          <w:rFonts w:asciiTheme="majorHAnsi" w:eastAsia="Calibri" w:hAnsiTheme="majorHAnsi" w:cstheme="majorHAnsi"/>
          <w:sz w:val="24"/>
          <w:szCs w:val="24"/>
          <w:lang w:val="ro-MD"/>
        </w:rPr>
      </w:pPr>
      <w:r>
        <w:rPr>
          <w:rFonts w:asciiTheme="majorHAnsi" w:eastAsia="Calibri" w:hAnsiTheme="majorHAnsi" w:cstheme="majorHAnsi"/>
          <w:sz w:val="24"/>
          <w:szCs w:val="24"/>
          <w:lang w:val="ro-MD"/>
        </w:rPr>
        <w:t>De menționat că î</w:t>
      </w:r>
      <w:r w:rsidR="00853D5E" w:rsidRPr="00921938">
        <w:rPr>
          <w:rFonts w:asciiTheme="majorHAnsi" w:eastAsia="Calibri" w:hAnsiTheme="majorHAnsi" w:cstheme="majorHAnsi"/>
          <w:sz w:val="24"/>
          <w:szCs w:val="24"/>
          <w:lang w:val="ro-MD"/>
        </w:rPr>
        <w:t xml:space="preserve">n anul 2019 au fost </w:t>
      </w:r>
      <w:r w:rsidR="00853D5E" w:rsidRPr="00921938">
        <w:rPr>
          <w:rFonts w:asciiTheme="majorHAnsi" w:eastAsia="Times New Roman" w:hAnsiTheme="majorHAnsi" w:cstheme="majorHAnsi"/>
          <w:sz w:val="24"/>
          <w:szCs w:val="24"/>
          <w:lang w:val="ro-MD" w:eastAsia="ru-RU"/>
        </w:rPr>
        <w:t xml:space="preserve">exmatriculați </w:t>
      </w:r>
      <w:r w:rsidR="00853D5E" w:rsidRPr="00921938">
        <w:rPr>
          <w:rFonts w:asciiTheme="majorHAnsi" w:eastAsia="Calibri" w:hAnsiTheme="majorHAnsi" w:cstheme="majorHAnsi"/>
          <w:sz w:val="24"/>
          <w:szCs w:val="24"/>
          <w:lang w:val="ro-MD"/>
        </w:rPr>
        <w:t xml:space="preserve">2545 </w:t>
      </w:r>
      <w:r w:rsidRPr="00855595">
        <w:rPr>
          <w:rFonts w:asciiTheme="majorHAnsi" w:eastAsia="Calibri" w:hAnsiTheme="majorHAnsi" w:cstheme="majorHAnsi"/>
          <w:sz w:val="24"/>
          <w:szCs w:val="24"/>
          <w:lang w:val="ro-MD"/>
        </w:rPr>
        <w:t xml:space="preserve">de </w:t>
      </w:r>
      <w:r w:rsidR="00853D5E" w:rsidRPr="00855595">
        <w:rPr>
          <w:rFonts w:asciiTheme="majorHAnsi" w:eastAsia="Calibri" w:hAnsiTheme="majorHAnsi" w:cstheme="majorHAnsi"/>
          <w:sz w:val="24"/>
          <w:szCs w:val="24"/>
          <w:lang w:val="ro-MD"/>
        </w:rPr>
        <w:t>elevi/</w:t>
      </w:r>
      <w:r w:rsidR="00853D5E" w:rsidRPr="00855595">
        <w:rPr>
          <w:rFonts w:asciiTheme="majorHAnsi" w:eastAsia="Times New Roman" w:hAnsiTheme="majorHAnsi" w:cstheme="majorHAnsi"/>
          <w:sz w:val="24"/>
          <w:szCs w:val="24"/>
          <w:lang w:val="ro-MD" w:eastAsia="ru-RU"/>
        </w:rPr>
        <w:t>studenți</w:t>
      </w:r>
      <w:r w:rsidR="00853D5E" w:rsidRPr="00855595">
        <w:rPr>
          <w:rFonts w:asciiTheme="majorHAnsi" w:eastAsia="Calibri" w:hAnsiTheme="majorHAnsi" w:cstheme="majorHAnsi"/>
          <w:sz w:val="24"/>
          <w:szCs w:val="24"/>
          <w:vertAlign w:val="superscript"/>
          <w:lang w:val="ro-MD"/>
        </w:rPr>
        <w:footnoteReference w:id="43"/>
      </w:r>
      <w:r w:rsidR="00853D5E" w:rsidRPr="00855595">
        <w:rPr>
          <w:rFonts w:asciiTheme="majorHAnsi" w:eastAsia="Times New Roman" w:hAnsiTheme="majorHAnsi" w:cstheme="majorHAnsi"/>
          <w:sz w:val="24"/>
          <w:szCs w:val="24"/>
          <w:lang w:val="ro-MD" w:eastAsia="ru-RU"/>
        </w:rPr>
        <w:t>,</w:t>
      </w:r>
      <w:r w:rsidRPr="00855595">
        <w:rPr>
          <w:rFonts w:asciiTheme="majorHAnsi" w:eastAsia="Times New Roman" w:hAnsiTheme="majorHAnsi" w:cstheme="majorHAnsi"/>
          <w:sz w:val="24"/>
          <w:szCs w:val="24"/>
          <w:lang w:val="ro-MD" w:eastAsia="ru-RU"/>
        </w:rPr>
        <w:t xml:space="preserve"> iar</w:t>
      </w:r>
      <w:r w:rsidR="00853D5E" w:rsidRPr="00855595">
        <w:rPr>
          <w:rFonts w:asciiTheme="majorHAnsi" w:eastAsia="Times New Roman" w:hAnsiTheme="majorHAnsi" w:cstheme="majorHAnsi"/>
          <w:sz w:val="24"/>
          <w:szCs w:val="24"/>
          <w:lang w:val="ro-MD" w:eastAsia="ru-RU"/>
        </w:rPr>
        <w:t xml:space="preserve"> cheltuielile</w:t>
      </w:r>
      <w:r w:rsidR="00853D5E" w:rsidRPr="00921938">
        <w:rPr>
          <w:rFonts w:asciiTheme="majorHAnsi" w:eastAsia="Times New Roman" w:hAnsiTheme="majorHAnsi" w:cstheme="majorHAnsi"/>
          <w:sz w:val="24"/>
          <w:szCs w:val="24"/>
          <w:lang w:val="ro-MD" w:eastAsia="ru-RU"/>
        </w:rPr>
        <w:t xml:space="preserve"> pentru studiile acestora </w:t>
      </w:r>
      <w:r w:rsidR="00853D5E" w:rsidRPr="00921938">
        <w:rPr>
          <w:rFonts w:asciiTheme="majorHAnsi" w:eastAsia="Calibri" w:hAnsiTheme="majorHAnsi" w:cstheme="majorHAnsi"/>
          <w:sz w:val="24"/>
          <w:szCs w:val="24"/>
          <w:lang w:val="ro-MD"/>
        </w:rPr>
        <w:t xml:space="preserve">de asemenea nu au fost restituite. </w:t>
      </w:r>
    </w:p>
    <w:p w14:paraId="34BDE81F" w14:textId="359B6071" w:rsidR="00853D5E" w:rsidRPr="00921938" w:rsidRDefault="00B06123" w:rsidP="00325F1F">
      <w:pPr>
        <w:spacing w:after="0" w:line="276" w:lineRule="auto"/>
        <w:jc w:val="both"/>
        <w:rPr>
          <w:rFonts w:asciiTheme="majorHAnsi" w:eastAsia="Calibri" w:hAnsiTheme="majorHAnsi" w:cstheme="majorHAnsi"/>
          <w:sz w:val="24"/>
          <w:szCs w:val="24"/>
          <w:lang w:val="ro-MD"/>
        </w:rPr>
      </w:pPr>
      <w:r w:rsidRPr="00921938">
        <w:rPr>
          <w:rFonts w:asciiTheme="majorHAnsi" w:hAnsiTheme="majorHAnsi" w:cstheme="majorHAnsi"/>
          <w:b/>
          <w:bCs/>
          <w:iCs/>
          <w:sz w:val="24"/>
          <w:szCs w:val="24"/>
          <w:shd w:val="clear" w:color="auto" w:fill="FFFFFF" w:themeFill="background1"/>
          <w:lang w:val="ro-MD"/>
        </w:rPr>
        <w:lastRenderedPageBreak/>
        <w:t>5</w:t>
      </w:r>
      <w:r w:rsidR="00853D5E" w:rsidRPr="00921938">
        <w:rPr>
          <w:rFonts w:asciiTheme="majorHAnsi" w:hAnsiTheme="majorHAnsi" w:cstheme="majorHAnsi"/>
          <w:b/>
          <w:bCs/>
          <w:iCs/>
          <w:sz w:val="24"/>
          <w:szCs w:val="24"/>
          <w:shd w:val="clear" w:color="auto" w:fill="FFFFFF" w:themeFill="background1"/>
          <w:lang w:val="ro-MD"/>
        </w:rPr>
        <w:t>.</w:t>
      </w:r>
      <w:r w:rsidR="00587722" w:rsidRPr="00921938">
        <w:rPr>
          <w:rFonts w:asciiTheme="majorHAnsi" w:hAnsiTheme="majorHAnsi" w:cstheme="majorHAnsi"/>
          <w:b/>
          <w:bCs/>
          <w:iCs/>
          <w:sz w:val="24"/>
          <w:szCs w:val="24"/>
          <w:shd w:val="clear" w:color="auto" w:fill="FFFFFF" w:themeFill="background1"/>
          <w:lang w:val="ro-MD"/>
        </w:rPr>
        <w:t>4</w:t>
      </w:r>
      <w:r w:rsidR="00853D5E" w:rsidRPr="00921938">
        <w:rPr>
          <w:rFonts w:asciiTheme="majorHAnsi" w:hAnsiTheme="majorHAnsi" w:cstheme="majorHAnsi"/>
          <w:b/>
          <w:bCs/>
          <w:iCs/>
          <w:sz w:val="24"/>
          <w:szCs w:val="24"/>
          <w:shd w:val="clear" w:color="auto" w:fill="FFFFFF" w:themeFill="background1"/>
          <w:lang w:val="ro-MD"/>
        </w:rPr>
        <w:t>.</w:t>
      </w:r>
      <w:r w:rsidR="00587722" w:rsidRPr="00921938">
        <w:rPr>
          <w:rFonts w:asciiTheme="majorHAnsi" w:hAnsiTheme="majorHAnsi" w:cstheme="majorHAnsi"/>
          <w:b/>
          <w:bCs/>
          <w:iCs/>
          <w:sz w:val="24"/>
          <w:szCs w:val="24"/>
          <w:shd w:val="clear" w:color="auto" w:fill="FFFFFF" w:themeFill="background1"/>
          <w:lang w:val="ro-MD"/>
        </w:rPr>
        <w:t>5.</w:t>
      </w:r>
      <w:r w:rsidR="00853D5E" w:rsidRPr="00921938">
        <w:rPr>
          <w:rFonts w:asciiTheme="majorHAnsi" w:hAnsiTheme="majorHAnsi" w:cstheme="majorHAnsi"/>
          <w:b/>
          <w:bCs/>
          <w:iCs/>
          <w:sz w:val="24"/>
          <w:szCs w:val="24"/>
          <w:shd w:val="clear" w:color="auto" w:fill="FFFFFF" w:themeFill="background1"/>
          <w:lang w:val="ro-MD"/>
        </w:rPr>
        <w:t xml:space="preserve"> </w:t>
      </w:r>
      <w:r w:rsidR="00853D5E" w:rsidRPr="00921938">
        <w:rPr>
          <w:rFonts w:asciiTheme="majorHAnsi" w:hAnsiTheme="majorHAnsi" w:cstheme="majorHAnsi"/>
          <w:sz w:val="24"/>
          <w:szCs w:val="24"/>
          <w:shd w:val="clear" w:color="auto" w:fill="FFFFFF" w:themeFill="background1"/>
          <w:lang w:val="ro-MD"/>
        </w:rPr>
        <w:t xml:space="preserve">Taxele de studii </w:t>
      </w:r>
      <w:r w:rsidR="00853D5E" w:rsidRPr="00921938">
        <w:rPr>
          <w:rFonts w:asciiTheme="majorHAnsi" w:eastAsia="Calibri" w:hAnsiTheme="majorHAnsi" w:cstheme="majorHAnsi"/>
          <w:sz w:val="24"/>
          <w:szCs w:val="24"/>
          <w:lang w:val="ro-MD"/>
        </w:rPr>
        <w:t>în învățământul profesional tehnic postsecundar și nonterțiar sunt aprobate prin Hotăr</w:t>
      </w:r>
      <w:r w:rsidR="00A90362">
        <w:rPr>
          <w:rFonts w:asciiTheme="majorHAnsi" w:eastAsia="Calibri" w:hAnsiTheme="majorHAnsi" w:cstheme="majorHAnsi"/>
          <w:sz w:val="24"/>
          <w:szCs w:val="24"/>
          <w:lang w:val="ro-MD"/>
        </w:rPr>
        <w:t>â</w:t>
      </w:r>
      <w:r w:rsidR="00853D5E" w:rsidRPr="00921938">
        <w:rPr>
          <w:rFonts w:asciiTheme="majorHAnsi" w:eastAsia="Calibri" w:hAnsiTheme="majorHAnsi" w:cstheme="majorHAnsi"/>
          <w:sz w:val="24"/>
          <w:szCs w:val="24"/>
          <w:lang w:val="ro-MD"/>
        </w:rPr>
        <w:t>re de Guvern</w:t>
      </w:r>
      <w:r w:rsidR="00853D5E" w:rsidRPr="00921938">
        <w:rPr>
          <w:rStyle w:val="FootnoteReference"/>
          <w:rFonts w:asciiTheme="majorHAnsi" w:eastAsia="Calibri" w:hAnsiTheme="majorHAnsi" w:cstheme="majorHAnsi"/>
          <w:sz w:val="24"/>
          <w:szCs w:val="24"/>
          <w:lang w:val="ro-MD"/>
        </w:rPr>
        <w:footnoteReference w:id="44"/>
      </w:r>
      <w:r w:rsidR="00A90362">
        <w:rPr>
          <w:rFonts w:asciiTheme="majorHAnsi" w:eastAsia="Calibri" w:hAnsiTheme="majorHAnsi" w:cstheme="majorHAnsi"/>
          <w:sz w:val="24"/>
          <w:szCs w:val="24"/>
          <w:lang w:val="ro-MD"/>
        </w:rPr>
        <w:t>,</w:t>
      </w:r>
      <w:r w:rsidR="00853D5E" w:rsidRPr="00921938">
        <w:rPr>
          <w:rFonts w:asciiTheme="majorHAnsi" w:eastAsia="Calibri" w:hAnsiTheme="majorHAnsi" w:cstheme="majorHAnsi"/>
          <w:sz w:val="24"/>
          <w:szCs w:val="24"/>
          <w:lang w:val="ro-MD"/>
        </w:rPr>
        <w:t xml:space="preserve"> pe instituții și pe meserii/profesii</w:t>
      </w:r>
      <w:r w:rsidR="00A90362">
        <w:rPr>
          <w:rFonts w:asciiTheme="majorHAnsi" w:eastAsia="Calibri" w:hAnsiTheme="majorHAnsi" w:cstheme="majorHAnsi"/>
          <w:sz w:val="24"/>
          <w:szCs w:val="24"/>
          <w:lang w:val="ro-MD"/>
        </w:rPr>
        <w:t>,</w:t>
      </w:r>
      <w:r w:rsidR="00853D5E" w:rsidRPr="00921938">
        <w:rPr>
          <w:rFonts w:asciiTheme="majorHAnsi" w:eastAsia="Calibri" w:hAnsiTheme="majorHAnsi" w:cstheme="majorHAnsi"/>
          <w:sz w:val="24"/>
          <w:szCs w:val="24"/>
          <w:lang w:val="ro-MD"/>
        </w:rPr>
        <w:t xml:space="preserve"> în </w:t>
      </w:r>
      <w:r w:rsidR="00A90362">
        <w:rPr>
          <w:rFonts w:asciiTheme="majorHAnsi" w:eastAsia="Calibri" w:hAnsiTheme="majorHAnsi" w:cstheme="majorHAnsi"/>
          <w:sz w:val="24"/>
          <w:szCs w:val="24"/>
          <w:lang w:val="ro-MD"/>
        </w:rPr>
        <w:t>funcție</w:t>
      </w:r>
      <w:r w:rsidR="00853D5E" w:rsidRPr="00921938">
        <w:rPr>
          <w:rFonts w:asciiTheme="majorHAnsi" w:eastAsia="Calibri" w:hAnsiTheme="majorHAnsi" w:cstheme="majorHAnsi"/>
          <w:sz w:val="24"/>
          <w:szCs w:val="24"/>
          <w:lang w:val="ro-MD"/>
        </w:rPr>
        <w:t xml:space="preserve"> de profilul acestora și constituie de la 3,2 mii lei până la 8,5 mii lei. Aceste taxe nu corespund costului real suportat de instruire și nu au fost revizuite la trecerea acestor instituții, </w:t>
      </w:r>
      <w:r w:rsidR="00853D5E" w:rsidRPr="00921938">
        <w:rPr>
          <w:rFonts w:asciiTheme="majorHAnsi" w:hAnsiTheme="majorHAnsi" w:cstheme="majorHAnsi"/>
          <w:sz w:val="24"/>
          <w:szCs w:val="24"/>
          <w:lang w:val="ro-MD"/>
        </w:rPr>
        <w:t>începând cu anul 2019, la activitate în regim de autogestiune financiar-economică</w:t>
      </w:r>
      <w:r w:rsidR="00853D5E" w:rsidRPr="00921938">
        <w:rPr>
          <w:rStyle w:val="FootnoteReference"/>
          <w:rFonts w:asciiTheme="majorHAnsi" w:hAnsiTheme="majorHAnsi" w:cstheme="majorHAnsi"/>
          <w:sz w:val="24"/>
          <w:szCs w:val="24"/>
          <w:lang w:val="ro-MD"/>
        </w:rPr>
        <w:footnoteReference w:id="45"/>
      </w:r>
      <w:r w:rsidR="00853D5E" w:rsidRPr="00921938">
        <w:rPr>
          <w:rFonts w:asciiTheme="majorHAnsi" w:hAnsiTheme="majorHAnsi" w:cstheme="majorHAnsi"/>
          <w:sz w:val="24"/>
          <w:szCs w:val="24"/>
          <w:lang w:val="ro-MD"/>
        </w:rPr>
        <w:t>.</w:t>
      </w:r>
      <w:r w:rsidR="00414134">
        <w:rPr>
          <w:rFonts w:asciiTheme="majorHAnsi" w:hAnsiTheme="majorHAnsi" w:cstheme="majorHAnsi"/>
          <w:sz w:val="24"/>
          <w:szCs w:val="24"/>
          <w:lang w:val="ro-MD"/>
        </w:rPr>
        <w:t xml:space="preserve"> </w:t>
      </w:r>
    </w:p>
    <w:p w14:paraId="747EB411" w14:textId="77777777" w:rsidR="00853D5E" w:rsidRPr="00921938" w:rsidRDefault="00853D5E" w:rsidP="00325F1F">
      <w:pPr>
        <w:pStyle w:val="NormalWeb"/>
        <w:spacing w:line="276" w:lineRule="auto"/>
        <w:ind w:firstLine="0"/>
        <w:rPr>
          <w:rFonts w:asciiTheme="majorHAnsi" w:hAnsiTheme="majorHAnsi" w:cstheme="majorHAnsi"/>
          <w:lang w:val="ro-MD"/>
        </w:rPr>
      </w:pPr>
      <w:r w:rsidRPr="00921938">
        <w:rPr>
          <w:rFonts w:asciiTheme="majorHAnsi" w:hAnsiTheme="majorHAnsi" w:cstheme="majorHAnsi"/>
          <w:bCs/>
          <w:iCs/>
          <w:lang w:val="ro-MD"/>
        </w:rPr>
        <w:t>Totodată, 8 instituții de învățământ profesional tehnic</w:t>
      </w:r>
      <w:r w:rsidRPr="00921938">
        <w:rPr>
          <w:rStyle w:val="FootnoteReference"/>
          <w:rFonts w:asciiTheme="majorHAnsi" w:eastAsia="Calibri" w:hAnsiTheme="majorHAnsi" w:cstheme="majorHAnsi"/>
          <w:lang w:val="ro-MD"/>
        </w:rPr>
        <w:footnoteReference w:id="46"/>
      </w:r>
      <w:r w:rsidRPr="00921938">
        <w:rPr>
          <w:rFonts w:asciiTheme="majorHAnsi" w:hAnsiTheme="majorHAnsi" w:cstheme="majorHAnsi"/>
          <w:bCs/>
          <w:iCs/>
          <w:lang w:val="ro-MD"/>
        </w:rPr>
        <w:t xml:space="preserve"> au prestat servicii educaționale prin </w:t>
      </w:r>
      <w:r w:rsidRPr="00921938">
        <w:rPr>
          <w:rFonts w:asciiTheme="majorHAnsi" w:hAnsiTheme="majorHAnsi" w:cstheme="majorHAnsi"/>
          <w:bCs/>
          <w:iCs/>
          <w:shd w:val="clear" w:color="auto" w:fill="FFFFFF" w:themeFill="background1"/>
          <w:lang w:val="ro-MD"/>
        </w:rPr>
        <w:t xml:space="preserve">contract </w:t>
      </w:r>
      <w:r w:rsidRPr="00921938">
        <w:rPr>
          <w:rFonts w:asciiTheme="majorHAnsi" w:hAnsiTheme="majorHAnsi" w:cstheme="majorHAnsi"/>
          <w:bCs/>
          <w:iCs/>
          <w:lang w:val="ro-MD"/>
        </w:rPr>
        <w:t xml:space="preserve">(pentru </w:t>
      </w:r>
      <w:r w:rsidRPr="00921938">
        <w:rPr>
          <w:rFonts w:asciiTheme="majorHAnsi" w:eastAsia="Calibri" w:hAnsiTheme="majorHAnsi" w:cstheme="majorHAnsi"/>
          <w:lang w:val="ro-MD"/>
        </w:rPr>
        <w:t>126 de elevi)</w:t>
      </w:r>
      <w:r w:rsidRPr="00921938">
        <w:rPr>
          <w:rFonts w:asciiTheme="majorHAnsi" w:hAnsiTheme="majorHAnsi" w:cstheme="majorHAnsi"/>
          <w:bCs/>
          <w:iCs/>
          <w:shd w:val="clear" w:color="auto" w:fill="FFFFFF" w:themeFill="background1"/>
          <w:lang w:val="ro-MD"/>
        </w:rPr>
        <w:t>, în lipsa aprobării taxei</w:t>
      </w:r>
      <w:r w:rsidRPr="00921938">
        <w:rPr>
          <w:rFonts w:asciiTheme="majorHAnsi" w:hAnsiTheme="majorHAnsi" w:cstheme="majorHAnsi"/>
          <w:bCs/>
          <w:iCs/>
          <w:lang w:val="ro-MD"/>
        </w:rPr>
        <w:t xml:space="preserve"> respective, precum şi fără a deține o metodologie de determinare a costului de studiere a unei meserii aprobată regulamentar</w:t>
      </w:r>
      <w:r w:rsidRPr="00921938">
        <w:rPr>
          <w:rStyle w:val="FootnoteReference"/>
          <w:rFonts w:asciiTheme="majorHAnsi" w:eastAsia="Calibri" w:hAnsiTheme="majorHAnsi" w:cstheme="majorHAnsi"/>
          <w:lang w:val="ro-MD"/>
        </w:rPr>
        <w:footnoteReference w:id="47"/>
      </w:r>
      <w:r w:rsidRPr="00921938">
        <w:rPr>
          <w:rFonts w:asciiTheme="majorHAnsi" w:hAnsiTheme="majorHAnsi" w:cstheme="majorHAnsi"/>
          <w:bCs/>
          <w:iCs/>
          <w:lang w:val="ro-MD"/>
        </w:rPr>
        <w:t>.</w:t>
      </w:r>
    </w:p>
    <w:p w14:paraId="3BCEE2F7" w14:textId="55F9BD02" w:rsidR="00853D5E" w:rsidRPr="00921938" w:rsidRDefault="00B06123" w:rsidP="00325F1F">
      <w:pPr>
        <w:spacing w:after="0" w:line="276" w:lineRule="auto"/>
        <w:jc w:val="both"/>
        <w:rPr>
          <w:rFonts w:cs="Times New Roman"/>
          <w:sz w:val="24"/>
          <w:szCs w:val="24"/>
          <w:lang w:val="ro-MD"/>
        </w:rPr>
      </w:pPr>
      <w:r w:rsidRPr="00921938">
        <w:rPr>
          <w:rFonts w:asciiTheme="majorHAnsi" w:hAnsiTheme="majorHAnsi" w:cstheme="majorHAnsi"/>
          <w:b/>
          <w:bCs/>
          <w:sz w:val="24"/>
          <w:szCs w:val="24"/>
          <w:lang w:val="ro-MD"/>
        </w:rPr>
        <w:t>5</w:t>
      </w:r>
      <w:r w:rsidR="009432C1" w:rsidRPr="00921938">
        <w:rPr>
          <w:rFonts w:asciiTheme="majorHAnsi" w:hAnsiTheme="majorHAnsi" w:cstheme="majorHAnsi"/>
          <w:b/>
          <w:bCs/>
          <w:sz w:val="24"/>
          <w:szCs w:val="24"/>
          <w:lang w:val="ro-MD"/>
        </w:rPr>
        <w:t>.4</w:t>
      </w:r>
      <w:r w:rsidR="00853D5E" w:rsidRPr="00921938">
        <w:rPr>
          <w:rFonts w:asciiTheme="majorHAnsi" w:hAnsiTheme="majorHAnsi" w:cstheme="majorHAnsi"/>
          <w:b/>
          <w:bCs/>
          <w:sz w:val="24"/>
          <w:szCs w:val="24"/>
          <w:lang w:val="ro-MD"/>
        </w:rPr>
        <w:t>.</w:t>
      </w:r>
      <w:r w:rsidR="009432C1" w:rsidRPr="00921938">
        <w:rPr>
          <w:rFonts w:asciiTheme="majorHAnsi" w:hAnsiTheme="majorHAnsi" w:cstheme="majorHAnsi"/>
          <w:b/>
          <w:bCs/>
          <w:sz w:val="24"/>
          <w:szCs w:val="24"/>
          <w:lang w:val="ro-MD"/>
        </w:rPr>
        <w:t>6</w:t>
      </w:r>
      <w:r w:rsidR="00853D5E" w:rsidRPr="00921938">
        <w:rPr>
          <w:rFonts w:asciiTheme="majorHAnsi" w:hAnsiTheme="majorHAnsi" w:cstheme="majorHAnsi"/>
          <w:b/>
          <w:bCs/>
          <w:sz w:val="24"/>
          <w:szCs w:val="24"/>
          <w:lang w:val="ro-MD"/>
        </w:rPr>
        <w:t>.</w:t>
      </w:r>
      <w:r w:rsidR="00853D5E" w:rsidRPr="00921938">
        <w:rPr>
          <w:rFonts w:asciiTheme="majorHAnsi" w:hAnsiTheme="majorHAnsi" w:cstheme="majorHAnsi"/>
          <w:sz w:val="24"/>
          <w:szCs w:val="24"/>
          <w:lang w:val="ro-MD"/>
        </w:rPr>
        <w:t xml:space="preserve"> La stabilirea și aprobarea limitei de alocații din bugetul de stat, necesare pentru finanțarea cheltuielilor de întreținere a instituțiilor de învățământ secundar general (licee/gimnazii), care sunt direct subordonate și finanțate de către MECC, nu au fost aplicate prevederile art.145 alin.(1) din Codul educației privind finanțarea învățământului prin cost standard per elev și coeficient de ajustare și nici nu au fost aplicate prin analogie </w:t>
      </w:r>
      <w:r w:rsidR="00853D5E" w:rsidRPr="00921938">
        <w:rPr>
          <w:rFonts w:asciiTheme="majorHAnsi" w:eastAsia="Times New Roman" w:hAnsiTheme="majorHAnsi" w:cstheme="majorHAnsi"/>
          <w:sz w:val="24"/>
          <w:szCs w:val="24"/>
          <w:lang w:val="ro-MD"/>
        </w:rPr>
        <w:t>prevederile HG nr.868 din 08.10.2014</w:t>
      </w:r>
      <w:r w:rsidR="00853D5E" w:rsidRPr="00921938">
        <w:rPr>
          <w:rFonts w:asciiTheme="majorHAnsi" w:eastAsia="Times New Roman" w:hAnsiTheme="majorHAnsi" w:cstheme="majorHAnsi"/>
          <w:sz w:val="24"/>
          <w:szCs w:val="24"/>
          <w:vertAlign w:val="superscript"/>
          <w:lang w:val="ro-MD"/>
        </w:rPr>
        <w:footnoteReference w:id="48"/>
      </w:r>
      <w:r w:rsidR="00853D5E" w:rsidRPr="00921938">
        <w:rPr>
          <w:rFonts w:asciiTheme="majorHAnsi" w:eastAsia="Times New Roman" w:hAnsiTheme="majorHAnsi" w:cstheme="majorHAnsi"/>
          <w:sz w:val="24"/>
          <w:szCs w:val="24"/>
          <w:lang w:val="ro-MD"/>
        </w:rPr>
        <w:t xml:space="preserve"> și a</w:t>
      </w:r>
      <w:r w:rsidR="00A90362">
        <w:rPr>
          <w:rFonts w:asciiTheme="majorHAnsi" w:eastAsia="Times New Roman" w:hAnsiTheme="majorHAnsi" w:cstheme="majorHAnsi"/>
          <w:sz w:val="24"/>
          <w:szCs w:val="24"/>
          <w:lang w:val="ro-MD"/>
        </w:rPr>
        <w:t>le</w:t>
      </w:r>
      <w:r w:rsidR="00853D5E" w:rsidRPr="00921938">
        <w:rPr>
          <w:rFonts w:asciiTheme="majorHAnsi" w:eastAsia="Times New Roman" w:hAnsiTheme="majorHAnsi" w:cstheme="majorHAnsi"/>
          <w:sz w:val="24"/>
          <w:szCs w:val="24"/>
          <w:lang w:val="ro-MD"/>
        </w:rPr>
        <w:t xml:space="preserve"> Notelor metodologice de elaborare și aprobare a bugetului, emise de Ministerul Finanțelor</w:t>
      </w:r>
      <w:r w:rsidR="00853D5E" w:rsidRPr="00921938">
        <w:rPr>
          <w:rFonts w:asciiTheme="majorHAnsi" w:eastAsia="Times New Roman" w:hAnsiTheme="majorHAnsi" w:cstheme="majorHAnsi"/>
          <w:iCs/>
          <w:sz w:val="24"/>
          <w:szCs w:val="24"/>
          <w:vertAlign w:val="superscript"/>
          <w:lang w:val="ro-MD"/>
        </w:rPr>
        <w:footnoteReference w:id="49"/>
      </w:r>
      <w:r w:rsidR="00A90362">
        <w:rPr>
          <w:rFonts w:asciiTheme="majorHAnsi" w:hAnsiTheme="majorHAnsi" w:cstheme="majorHAnsi"/>
          <w:sz w:val="24"/>
          <w:szCs w:val="24"/>
          <w:lang w:val="ro-MD"/>
        </w:rPr>
        <w:t>.</w:t>
      </w:r>
      <w:r w:rsidR="00853D5E" w:rsidRPr="00921938">
        <w:rPr>
          <w:rFonts w:asciiTheme="majorHAnsi" w:hAnsiTheme="majorHAnsi" w:cstheme="majorHAnsi"/>
          <w:sz w:val="24"/>
          <w:szCs w:val="24"/>
          <w:lang w:val="ro-MD"/>
        </w:rPr>
        <w:t xml:space="preserve"> </w:t>
      </w:r>
      <w:r w:rsidR="00A90362">
        <w:rPr>
          <w:rFonts w:asciiTheme="majorHAnsi" w:hAnsiTheme="majorHAnsi" w:cstheme="majorHAnsi"/>
          <w:sz w:val="24"/>
          <w:szCs w:val="24"/>
          <w:lang w:val="ro-MD"/>
        </w:rPr>
        <w:t xml:space="preserve">Acest </w:t>
      </w:r>
      <w:r w:rsidR="00853D5E" w:rsidRPr="00921938">
        <w:rPr>
          <w:rFonts w:asciiTheme="majorHAnsi" w:hAnsiTheme="majorHAnsi" w:cstheme="majorHAnsi"/>
          <w:sz w:val="24"/>
          <w:szCs w:val="24"/>
          <w:lang w:val="ro-MD"/>
        </w:rPr>
        <w:t>fapt condiționează suprafinanțarea instituțiilor</w:t>
      </w:r>
      <w:r w:rsidR="00A90362">
        <w:rPr>
          <w:rFonts w:asciiTheme="majorHAnsi" w:hAnsiTheme="majorHAnsi" w:cstheme="majorHAnsi"/>
          <w:sz w:val="24"/>
          <w:szCs w:val="24"/>
          <w:lang w:val="ro-MD"/>
        </w:rPr>
        <w:t>,</w:t>
      </w:r>
      <w:r w:rsidR="00853D5E" w:rsidRPr="00921938">
        <w:rPr>
          <w:rFonts w:asciiTheme="majorHAnsi" w:hAnsiTheme="majorHAnsi" w:cstheme="majorHAnsi"/>
          <w:sz w:val="24"/>
          <w:szCs w:val="24"/>
          <w:lang w:val="ro-MD"/>
        </w:rPr>
        <w:t xml:space="preserve"> în comparație cu </w:t>
      </w:r>
      <w:r w:rsidR="00A90362">
        <w:rPr>
          <w:rFonts w:asciiTheme="majorHAnsi" w:hAnsiTheme="majorHAnsi" w:cstheme="majorHAnsi"/>
          <w:sz w:val="24"/>
          <w:szCs w:val="24"/>
          <w:lang w:val="ro-MD"/>
        </w:rPr>
        <w:t>cele</w:t>
      </w:r>
      <w:r w:rsidR="00853D5E" w:rsidRPr="00921938">
        <w:rPr>
          <w:rFonts w:asciiTheme="majorHAnsi" w:hAnsiTheme="majorHAnsi" w:cstheme="majorHAnsi"/>
          <w:sz w:val="24"/>
          <w:szCs w:val="24"/>
          <w:lang w:val="ro-MD"/>
        </w:rPr>
        <w:t xml:space="preserve"> din subordinea APL</w:t>
      </w:r>
      <w:r w:rsidR="00853D5E" w:rsidRPr="00921938">
        <w:rPr>
          <w:rStyle w:val="FootnoteReference"/>
          <w:rFonts w:asciiTheme="majorHAnsi" w:hAnsiTheme="majorHAnsi" w:cstheme="majorHAnsi"/>
          <w:sz w:val="24"/>
          <w:szCs w:val="24"/>
          <w:lang w:val="ro-MD"/>
        </w:rPr>
        <w:footnoteReference w:id="50"/>
      </w:r>
      <w:r w:rsidR="00853D5E" w:rsidRPr="00921938">
        <w:rPr>
          <w:rFonts w:asciiTheme="majorHAnsi" w:hAnsiTheme="majorHAnsi" w:cstheme="majorHAnsi"/>
          <w:sz w:val="24"/>
          <w:szCs w:val="24"/>
          <w:lang w:val="ro-MD"/>
        </w:rPr>
        <w:t>.</w:t>
      </w:r>
      <w:r w:rsidR="00853D5E" w:rsidRPr="00921938">
        <w:rPr>
          <w:rFonts w:cs="Times New Roman"/>
          <w:sz w:val="24"/>
          <w:szCs w:val="24"/>
          <w:lang w:val="ro-MD"/>
        </w:rPr>
        <w:t xml:space="preserve"> </w:t>
      </w:r>
    </w:p>
    <w:p w14:paraId="152DE24F" w14:textId="4B7B8DB0" w:rsidR="00B06123" w:rsidRPr="00921938" w:rsidRDefault="00B06123" w:rsidP="00325F1F">
      <w:pPr>
        <w:pStyle w:val="ListParagraph"/>
        <w:spacing w:line="276" w:lineRule="auto"/>
        <w:ind w:left="0"/>
        <w:contextualSpacing w:val="0"/>
        <w:rPr>
          <w:rFonts w:asciiTheme="majorHAnsi" w:hAnsiTheme="majorHAnsi" w:cstheme="majorHAnsi"/>
          <w:sz w:val="24"/>
          <w:szCs w:val="24"/>
          <w:lang w:val="ro-MD"/>
        </w:rPr>
      </w:pPr>
      <w:r w:rsidRPr="00921938">
        <w:rPr>
          <w:rFonts w:asciiTheme="majorHAnsi" w:hAnsiTheme="majorHAnsi" w:cstheme="majorHAnsi"/>
          <w:b/>
          <w:bCs/>
          <w:sz w:val="24"/>
          <w:szCs w:val="24"/>
          <w:lang w:val="ro-MD"/>
        </w:rPr>
        <w:t>5.5.</w:t>
      </w:r>
      <w:r w:rsidRPr="00921938">
        <w:rPr>
          <w:rFonts w:asciiTheme="majorHAnsi" w:hAnsiTheme="majorHAnsi" w:cstheme="majorHAnsi"/>
          <w:sz w:val="24"/>
          <w:szCs w:val="24"/>
          <w:lang w:val="ro-MD"/>
        </w:rPr>
        <w:t xml:space="preserve"> Atragem atenția asupra faptului că echipa de audit a</w:t>
      </w:r>
      <w:r w:rsidR="00414134">
        <w:rPr>
          <w:rFonts w:asciiTheme="majorHAnsi" w:hAnsiTheme="majorHAnsi" w:cstheme="majorHAnsi"/>
          <w:sz w:val="24"/>
          <w:szCs w:val="24"/>
          <w:lang w:val="ro-MD"/>
        </w:rPr>
        <w:t xml:space="preserve"> </w:t>
      </w:r>
      <w:r w:rsidRPr="00921938">
        <w:rPr>
          <w:rFonts w:asciiTheme="majorHAnsi" w:hAnsiTheme="majorHAnsi" w:cstheme="majorHAnsi"/>
          <w:sz w:val="24"/>
          <w:szCs w:val="24"/>
          <w:lang w:val="ro-MD"/>
        </w:rPr>
        <w:t>identificat</w:t>
      </w:r>
      <w:r w:rsidR="00414134">
        <w:rPr>
          <w:rFonts w:asciiTheme="majorHAnsi" w:hAnsiTheme="majorHAnsi" w:cstheme="majorHAnsi"/>
          <w:sz w:val="24"/>
          <w:szCs w:val="24"/>
          <w:lang w:val="ro-MD"/>
        </w:rPr>
        <w:t xml:space="preserve"> </w:t>
      </w:r>
      <w:r w:rsidRPr="00921938">
        <w:rPr>
          <w:rFonts w:asciiTheme="majorHAnsi" w:hAnsiTheme="majorHAnsi" w:cstheme="majorHAnsi"/>
          <w:sz w:val="24"/>
          <w:szCs w:val="24"/>
          <w:lang w:val="ro-MD"/>
        </w:rPr>
        <w:t xml:space="preserve">necorelarea cadrului normativ aferent </w:t>
      </w:r>
      <w:r w:rsidR="003F6498">
        <w:rPr>
          <w:rFonts w:asciiTheme="majorHAnsi" w:hAnsiTheme="majorHAnsi" w:cstheme="majorHAnsi"/>
          <w:sz w:val="24"/>
          <w:szCs w:val="24"/>
          <w:lang w:val="ro-MD"/>
        </w:rPr>
        <w:t>retribuirii muncii</w:t>
      </w:r>
      <w:r w:rsidRPr="00921938">
        <w:rPr>
          <w:rFonts w:asciiTheme="majorHAnsi" w:hAnsiTheme="majorHAnsi" w:cstheme="majorHAnsi"/>
          <w:sz w:val="24"/>
          <w:szCs w:val="24"/>
          <w:lang w:val="ro-MD"/>
        </w:rPr>
        <w:t>, și anume:</w:t>
      </w:r>
    </w:p>
    <w:p w14:paraId="1C4FA08B" w14:textId="52B93896" w:rsidR="00B06123" w:rsidRPr="00921938" w:rsidRDefault="00A90362" w:rsidP="00325F1F">
      <w:pPr>
        <w:pStyle w:val="ListParagraph"/>
        <w:numPr>
          <w:ilvl w:val="0"/>
          <w:numId w:val="18"/>
        </w:numPr>
        <w:spacing w:line="276" w:lineRule="auto"/>
        <w:contextualSpacing w:val="0"/>
        <w:rPr>
          <w:rFonts w:asciiTheme="majorHAnsi" w:hAnsiTheme="majorHAnsi" w:cstheme="majorHAnsi"/>
          <w:sz w:val="24"/>
          <w:lang w:val="ro-MD"/>
        </w:rPr>
      </w:pPr>
      <w:r>
        <w:rPr>
          <w:rFonts w:asciiTheme="majorHAnsi" w:hAnsiTheme="majorHAnsi" w:cstheme="majorHAnsi"/>
          <w:sz w:val="24"/>
          <w:szCs w:val="24"/>
          <w:lang w:val="ro-MD"/>
        </w:rPr>
        <w:t>l</w:t>
      </w:r>
      <w:r w:rsidR="00B06123" w:rsidRPr="00921938">
        <w:rPr>
          <w:rFonts w:asciiTheme="majorHAnsi" w:hAnsiTheme="majorHAnsi" w:cstheme="majorHAnsi"/>
          <w:sz w:val="24"/>
          <w:lang w:val="ro-MD"/>
        </w:rPr>
        <w:t>a aprobarea statelor</w:t>
      </w:r>
      <w:r>
        <w:rPr>
          <w:rFonts w:asciiTheme="majorHAnsi" w:hAnsiTheme="majorHAnsi" w:cstheme="majorHAnsi"/>
          <w:sz w:val="24"/>
          <w:lang w:val="ro-MD"/>
        </w:rPr>
        <w:t>-</w:t>
      </w:r>
      <w:r w:rsidR="00B06123" w:rsidRPr="00921938">
        <w:rPr>
          <w:rFonts w:asciiTheme="majorHAnsi" w:hAnsiTheme="majorHAnsi" w:cstheme="majorHAnsi"/>
          <w:sz w:val="24"/>
          <w:lang w:val="ro-MD"/>
        </w:rPr>
        <w:t>tip de personal/schemelor de încadrare</w:t>
      </w:r>
      <w:r>
        <w:rPr>
          <w:rFonts w:asciiTheme="majorHAnsi" w:hAnsiTheme="majorHAnsi" w:cstheme="majorHAnsi"/>
          <w:sz w:val="24"/>
          <w:lang w:val="ro-MD"/>
        </w:rPr>
        <w:t>,</w:t>
      </w:r>
      <w:r w:rsidR="00B06123" w:rsidRPr="00921938">
        <w:rPr>
          <w:rFonts w:asciiTheme="majorHAnsi" w:hAnsiTheme="majorHAnsi" w:cstheme="majorHAnsi"/>
          <w:sz w:val="24"/>
          <w:lang w:val="ro-MD"/>
        </w:rPr>
        <w:t xml:space="preserve"> instituțiile de învățăm</w:t>
      </w:r>
      <w:r>
        <w:rPr>
          <w:rFonts w:asciiTheme="majorHAnsi" w:hAnsiTheme="majorHAnsi" w:cstheme="majorHAnsi"/>
          <w:sz w:val="24"/>
          <w:lang w:val="ro-MD"/>
        </w:rPr>
        <w:t>â</w:t>
      </w:r>
      <w:r w:rsidR="00B06123" w:rsidRPr="00921938">
        <w:rPr>
          <w:rFonts w:asciiTheme="majorHAnsi" w:hAnsiTheme="majorHAnsi" w:cstheme="majorHAnsi"/>
          <w:sz w:val="24"/>
          <w:lang w:val="ro-MD"/>
        </w:rPr>
        <w:t xml:space="preserve">nt nu se conduc de reglementări unice cu caracter normativ, necesare spre aprobare de </w:t>
      </w:r>
      <w:r>
        <w:rPr>
          <w:rFonts w:asciiTheme="majorHAnsi" w:hAnsiTheme="majorHAnsi" w:cstheme="majorHAnsi"/>
          <w:sz w:val="24"/>
          <w:lang w:val="ro-MD"/>
        </w:rPr>
        <w:t xml:space="preserve">către </w:t>
      </w:r>
      <w:r w:rsidR="00B06123" w:rsidRPr="00921938">
        <w:rPr>
          <w:rFonts w:asciiTheme="majorHAnsi" w:hAnsiTheme="majorHAnsi" w:cstheme="majorHAnsi"/>
          <w:sz w:val="24"/>
          <w:lang w:val="ro-MD"/>
        </w:rPr>
        <w:t xml:space="preserve">MECC (art.50 alin.(4) din Cod </w:t>
      </w:r>
      <w:r>
        <w:rPr>
          <w:rFonts w:asciiTheme="majorHAnsi" w:hAnsiTheme="majorHAnsi" w:cstheme="majorHAnsi"/>
          <w:sz w:val="24"/>
          <w:lang w:val="ro-MD"/>
        </w:rPr>
        <w:t>e</w:t>
      </w:r>
      <w:r w:rsidR="00B06123" w:rsidRPr="00921938">
        <w:rPr>
          <w:rFonts w:asciiTheme="majorHAnsi" w:hAnsiTheme="majorHAnsi" w:cstheme="majorHAnsi"/>
          <w:sz w:val="24"/>
          <w:lang w:val="ro-MD"/>
        </w:rPr>
        <w:t xml:space="preserve">ducație), în baza cărora s-ar stabili criteriile de estimare și aprobare a necesarului de unități de personal administrativ/auxiliar pentru asigurarea activității instituției; </w:t>
      </w:r>
    </w:p>
    <w:p w14:paraId="56CD9D82" w14:textId="58CF5562" w:rsidR="00B06123" w:rsidRPr="00921938" w:rsidRDefault="00D76D6A" w:rsidP="00325F1F">
      <w:pPr>
        <w:pStyle w:val="ListParagraph"/>
        <w:numPr>
          <w:ilvl w:val="0"/>
          <w:numId w:val="18"/>
        </w:numPr>
        <w:spacing w:line="276" w:lineRule="auto"/>
        <w:contextualSpacing w:val="0"/>
        <w:rPr>
          <w:rFonts w:asciiTheme="majorHAnsi" w:hAnsiTheme="majorHAnsi" w:cstheme="majorHAnsi"/>
          <w:b/>
          <w:sz w:val="24"/>
          <w:lang w:val="ro-MD"/>
        </w:rPr>
      </w:pPr>
      <w:r>
        <w:rPr>
          <w:rFonts w:asciiTheme="majorHAnsi" w:hAnsiTheme="majorHAnsi" w:cstheme="majorHAnsi"/>
          <w:sz w:val="24"/>
          <w:szCs w:val="24"/>
          <w:lang w:val="ro-MD"/>
        </w:rPr>
        <w:t>u</w:t>
      </w:r>
      <w:r w:rsidR="00B06123" w:rsidRPr="00921938">
        <w:rPr>
          <w:rFonts w:asciiTheme="majorHAnsi" w:hAnsiTheme="majorHAnsi" w:cstheme="majorHAnsi"/>
          <w:sz w:val="24"/>
          <w:szCs w:val="24"/>
          <w:lang w:val="ro-MD"/>
        </w:rPr>
        <w:t>lilizarea concomitentă de către unele instituții a prevederilor pct.7 și pct.9 din Nota la Anexa nr.10 din Legea nr.270 din 23.11.2018, la stabilirea salariului de bază a</w:t>
      </w:r>
      <w:r>
        <w:rPr>
          <w:rFonts w:asciiTheme="majorHAnsi" w:hAnsiTheme="majorHAnsi" w:cstheme="majorHAnsi"/>
          <w:sz w:val="24"/>
          <w:szCs w:val="24"/>
          <w:lang w:val="ro-MD"/>
        </w:rPr>
        <w:t>l</w:t>
      </w:r>
      <w:r w:rsidR="00B06123" w:rsidRPr="00921938">
        <w:rPr>
          <w:rFonts w:asciiTheme="majorHAnsi" w:hAnsiTheme="majorHAnsi" w:cstheme="majorHAnsi"/>
          <w:sz w:val="24"/>
          <w:szCs w:val="24"/>
          <w:lang w:val="ro-MD"/>
        </w:rPr>
        <w:t xml:space="preserve"> șoferilor.</w:t>
      </w:r>
      <w:r w:rsidR="00B06123" w:rsidRPr="00921938">
        <w:rPr>
          <w:rFonts w:asciiTheme="majorHAnsi" w:hAnsiTheme="majorHAnsi" w:cstheme="majorHAnsi"/>
          <w:b/>
          <w:sz w:val="24"/>
          <w:lang w:val="ro-MD"/>
        </w:rPr>
        <w:t xml:space="preserve"> </w:t>
      </w:r>
    </w:p>
    <w:p w14:paraId="452EC48D" w14:textId="7380B7F3" w:rsidR="009432C1" w:rsidRPr="00921938" w:rsidRDefault="00B06123"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b/>
          <w:bCs/>
          <w:sz w:val="24"/>
          <w:szCs w:val="24"/>
          <w:lang w:val="ro-MD"/>
        </w:rPr>
        <w:t>5</w:t>
      </w:r>
      <w:r w:rsidR="009432C1" w:rsidRPr="00921938">
        <w:rPr>
          <w:rFonts w:asciiTheme="majorHAnsi" w:hAnsiTheme="majorHAnsi" w:cstheme="majorHAnsi"/>
          <w:b/>
          <w:bCs/>
          <w:sz w:val="24"/>
          <w:szCs w:val="24"/>
          <w:lang w:val="ro-MD"/>
        </w:rPr>
        <w:t>.</w:t>
      </w:r>
      <w:r w:rsidRPr="00921938">
        <w:rPr>
          <w:rFonts w:asciiTheme="majorHAnsi" w:hAnsiTheme="majorHAnsi" w:cstheme="majorHAnsi"/>
          <w:b/>
          <w:bCs/>
          <w:sz w:val="24"/>
          <w:szCs w:val="24"/>
          <w:lang w:val="ro-MD"/>
        </w:rPr>
        <w:t>6</w:t>
      </w:r>
      <w:r w:rsidR="009432C1" w:rsidRPr="00921938">
        <w:rPr>
          <w:rFonts w:asciiTheme="majorHAnsi" w:hAnsiTheme="majorHAnsi" w:cstheme="majorHAnsi"/>
          <w:sz w:val="24"/>
          <w:szCs w:val="24"/>
          <w:lang w:val="ro-MD"/>
        </w:rPr>
        <w:t>.</w:t>
      </w:r>
      <w:r w:rsidR="009432C1" w:rsidRPr="00921938">
        <w:rPr>
          <w:rFonts w:asciiTheme="majorHAnsi" w:hAnsiTheme="majorHAnsi" w:cstheme="majorHAnsi"/>
          <w:i/>
          <w:sz w:val="24"/>
          <w:szCs w:val="24"/>
          <w:lang w:val="ro-MD"/>
        </w:rPr>
        <w:t xml:space="preserve"> </w:t>
      </w:r>
      <w:r w:rsidR="003F6498" w:rsidRPr="00FB7A9A">
        <w:rPr>
          <w:rFonts w:asciiTheme="majorHAnsi" w:hAnsiTheme="majorHAnsi" w:cstheme="majorHAnsi"/>
          <w:sz w:val="24"/>
          <w:szCs w:val="24"/>
          <w:lang w:val="ro-MD"/>
        </w:rPr>
        <w:t>S</w:t>
      </w:r>
      <w:r w:rsidR="009432C1" w:rsidRPr="00FB7A9A">
        <w:rPr>
          <w:rFonts w:asciiTheme="majorHAnsi" w:hAnsiTheme="majorHAnsi" w:cstheme="majorHAnsi"/>
          <w:sz w:val="24"/>
          <w:szCs w:val="24"/>
          <w:lang w:val="ro-MD"/>
        </w:rPr>
        <w:t>ubsidii</w:t>
      </w:r>
      <w:r w:rsidR="003F6498" w:rsidRPr="00FB7A9A">
        <w:rPr>
          <w:rFonts w:asciiTheme="majorHAnsi" w:hAnsiTheme="majorHAnsi" w:cstheme="majorHAnsi"/>
          <w:sz w:val="24"/>
          <w:szCs w:val="24"/>
          <w:lang w:val="ro-MD"/>
        </w:rPr>
        <w:t>le</w:t>
      </w:r>
      <w:r w:rsidR="009432C1" w:rsidRPr="00921938">
        <w:rPr>
          <w:rFonts w:asciiTheme="majorHAnsi" w:hAnsiTheme="majorHAnsi" w:cstheme="majorHAnsi"/>
          <w:sz w:val="24"/>
          <w:szCs w:val="24"/>
          <w:lang w:val="ro-MD"/>
        </w:rPr>
        <w:t xml:space="preserve"> pentru susținerea activități</w:t>
      </w:r>
      <w:r w:rsidR="00D76D6A">
        <w:rPr>
          <w:rFonts w:asciiTheme="majorHAnsi" w:hAnsiTheme="majorHAnsi" w:cstheme="majorHAnsi"/>
          <w:sz w:val="24"/>
          <w:szCs w:val="24"/>
          <w:lang w:val="ro-MD"/>
        </w:rPr>
        <w:t>i</w:t>
      </w:r>
      <w:r w:rsidR="009432C1" w:rsidRPr="00921938">
        <w:rPr>
          <w:rFonts w:asciiTheme="majorHAnsi" w:hAnsiTheme="majorHAnsi" w:cstheme="majorHAnsi"/>
          <w:sz w:val="24"/>
          <w:szCs w:val="24"/>
          <w:lang w:val="ro-MD"/>
        </w:rPr>
        <w:t xml:space="preserve"> organizațiilor teatral-concertistice în sumă de 159,1 mil.lei </w:t>
      </w:r>
      <w:r w:rsidR="003F6498">
        <w:rPr>
          <w:rFonts w:asciiTheme="majorHAnsi" w:hAnsiTheme="majorHAnsi" w:cstheme="majorHAnsi"/>
          <w:sz w:val="24"/>
          <w:szCs w:val="24"/>
          <w:lang w:val="ro-MD"/>
        </w:rPr>
        <w:t>au fost acordate în</w:t>
      </w:r>
      <w:r w:rsidR="009432C1" w:rsidRPr="00921938">
        <w:rPr>
          <w:rFonts w:asciiTheme="majorHAnsi" w:hAnsiTheme="majorHAnsi" w:cstheme="majorHAnsi"/>
          <w:sz w:val="24"/>
          <w:szCs w:val="24"/>
          <w:lang w:val="ro-MD"/>
        </w:rPr>
        <w:t xml:space="preserve"> lips</w:t>
      </w:r>
      <w:r w:rsidR="003F6498">
        <w:rPr>
          <w:rFonts w:asciiTheme="majorHAnsi" w:hAnsiTheme="majorHAnsi" w:cstheme="majorHAnsi"/>
          <w:sz w:val="24"/>
          <w:szCs w:val="24"/>
          <w:lang w:val="ro-MD"/>
        </w:rPr>
        <w:t>a</w:t>
      </w:r>
      <w:r w:rsidR="009432C1" w:rsidRPr="00921938">
        <w:rPr>
          <w:rFonts w:asciiTheme="majorHAnsi" w:hAnsiTheme="majorHAnsi" w:cstheme="majorHAnsi"/>
          <w:sz w:val="24"/>
          <w:szCs w:val="24"/>
          <w:lang w:val="ro-MD"/>
        </w:rPr>
        <w:t xml:space="preserve"> unor proceduri de control intern privind confirmarea utilizării conform destinației a subsidiilor, corelării mărimii acestora cu indicatorii de activitate stabiliți de cadrul normativ</w:t>
      </w:r>
      <w:r w:rsidR="003F6498">
        <w:rPr>
          <w:rFonts w:asciiTheme="majorHAnsi" w:hAnsiTheme="majorHAnsi" w:cstheme="majorHAnsi"/>
          <w:sz w:val="24"/>
          <w:szCs w:val="24"/>
          <w:lang w:val="ro-MD"/>
        </w:rPr>
        <w:t>, f</w:t>
      </w:r>
      <w:r w:rsidR="009432C1" w:rsidRPr="00921938">
        <w:rPr>
          <w:rFonts w:asciiTheme="majorHAnsi" w:hAnsiTheme="majorHAnsi" w:cstheme="majorHAnsi"/>
          <w:sz w:val="24"/>
          <w:szCs w:val="24"/>
          <w:lang w:val="ro-MD"/>
        </w:rPr>
        <w:t>apt relatat și în auditurile precedente.</w:t>
      </w:r>
    </w:p>
    <w:p w14:paraId="2E37265F" w14:textId="28AAF64C" w:rsidR="009432C1" w:rsidRPr="00921938" w:rsidRDefault="009432C1"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sz w:val="24"/>
          <w:szCs w:val="24"/>
          <w:lang w:val="ro-MD"/>
        </w:rPr>
        <w:t xml:space="preserve">Deși prevederile art. 17 din Legea nr.1421 privind principiile de subvenționare a organizațiilor teatral-concertistice au fost abrogate de la 01.01.2019, principiile indicate în Regulamentul aprobat prin HG nr.1242 nu au fost modificate. Ca urmare, repartizarea alocațiilor financiare instituțiilor publice teatral-concertistice trebuiau efectuate conform pct.37 din Regulamentul aprobat prin HG nr.1242: pentru instituţiile cu statut naţional </w:t>
      </w:r>
      <w:r w:rsidR="00D76D6A">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în proporţie de 80% faţă de cheltuielile totale, pentru restul instituţiilor </w:t>
      </w:r>
      <w:r w:rsidR="00D76D6A">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în proporţie de 60% din cheltuielile întreprinderii, </w:t>
      </w:r>
      <w:r w:rsidRPr="00921938">
        <w:rPr>
          <w:rFonts w:asciiTheme="majorHAnsi" w:hAnsiTheme="majorHAnsi" w:cstheme="majorHAnsi"/>
          <w:sz w:val="24"/>
          <w:szCs w:val="24"/>
          <w:lang w:val="ro-MD"/>
        </w:rPr>
        <w:lastRenderedPageBreak/>
        <w:t>precum şi în conformitate cu calculele normativelor de cheltuieli, aprobate de Guvern. Contrar celor indicate, în anul 2019</w:t>
      </w:r>
      <w:r w:rsidR="00D76D6A">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la determinarea subvențiilor s-au luat ca bază cheltuielile de personal și cotele procentuale stabilite în legislație, dar nu cheltuielile totale ale instituțiilor, precum prevede cadrul normativ.</w:t>
      </w:r>
    </w:p>
    <w:p w14:paraId="5C3D1CB8" w14:textId="405EA29E" w:rsidR="009432C1" w:rsidRPr="00921938" w:rsidRDefault="00B06123" w:rsidP="00325F1F">
      <w:pPr>
        <w:spacing w:after="0" w:line="276" w:lineRule="auto"/>
        <w:ind w:right="-47"/>
        <w:jc w:val="both"/>
        <w:rPr>
          <w:rFonts w:asciiTheme="majorHAnsi" w:hAnsiTheme="majorHAnsi" w:cstheme="majorHAnsi"/>
          <w:sz w:val="24"/>
          <w:szCs w:val="24"/>
          <w:lang w:val="ro-MD"/>
        </w:rPr>
      </w:pPr>
      <w:r w:rsidRPr="00921938">
        <w:rPr>
          <w:rFonts w:asciiTheme="majorHAnsi" w:eastAsia="Times New Roman" w:hAnsiTheme="majorHAnsi" w:cstheme="majorHAnsi"/>
          <w:b/>
          <w:sz w:val="24"/>
          <w:szCs w:val="24"/>
          <w:lang w:val="ro-MD"/>
        </w:rPr>
        <w:t>5</w:t>
      </w:r>
      <w:r w:rsidR="009432C1" w:rsidRPr="00921938">
        <w:rPr>
          <w:rFonts w:asciiTheme="majorHAnsi" w:eastAsia="Times New Roman" w:hAnsiTheme="majorHAnsi" w:cstheme="majorHAnsi"/>
          <w:b/>
          <w:sz w:val="24"/>
          <w:szCs w:val="24"/>
          <w:lang w:val="ro-MD"/>
        </w:rPr>
        <w:t>.</w:t>
      </w:r>
      <w:r w:rsidRPr="00921938">
        <w:rPr>
          <w:rFonts w:asciiTheme="majorHAnsi" w:eastAsia="Times New Roman" w:hAnsiTheme="majorHAnsi" w:cstheme="majorHAnsi"/>
          <w:b/>
          <w:sz w:val="24"/>
          <w:szCs w:val="24"/>
          <w:lang w:val="ro-MD"/>
        </w:rPr>
        <w:t>7</w:t>
      </w:r>
      <w:r w:rsidR="009432C1" w:rsidRPr="00921938">
        <w:rPr>
          <w:rFonts w:asciiTheme="majorHAnsi" w:eastAsia="Times New Roman" w:hAnsiTheme="majorHAnsi" w:cstheme="majorHAnsi"/>
          <w:b/>
          <w:sz w:val="24"/>
          <w:szCs w:val="24"/>
          <w:lang w:val="ro-MD"/>
        </w:rPr>
        <w:t>.</w:t>
      </w:r>
      <w:r w:rsidR="00030172" w:rsidRPr="00921938">
        <w:rPr>
          <w:rFonts w:asciiTheme="majorHAnsi" w:eastAsia="Times New Roman" w:hAnsiTheme="majorHAnsi" w:cstheme="majorHAnsi"/>
          <w:b/>
          <w:sz w:val="24"/>
          <w:szCs w:val="24"/>
          <w:lang w:val="ro-MD"/>
        </w:rPr>
        <w:t xml:space="preserve"> </w:t>
      </w:r>
      <w:r w:rsidR="009432C1" w:rsidRPr="00921938">
        <w:rPr>
          <w:rFonts w:asciiTheme="majorHAnsi" w:hAnsiTheme="majorHAnsi" w:cstheme="majorHAnsi"/>
          <w:i/>
          <w:iCs/>
          <w:sz w:val="24"/>
          <w:szCs w:val="24"/>
          <w:lang w:val="ro-MD"/>
        </w:rPr>
        <w:t>MECC nu deține informația privind modul de utilizare ulterioară a rezultatelor cercetărilor științifice</w:t>
      </w:r>
      <w:r w:rsidR="009432C1" w:rsidRPr="00921938">
        <w:rPr>
          <w:rFonts w:asciiTheme="majorHAnsi" w:hAnsiTheme="majorHAnsi" w:cstheme="majorHAnsi"/>
          <w:sz w:val="24"/>
          <w:szCs w:val="24"/>
          <w:lang w:val="ro-MD"/>
        </w:rPr>
        <w:t xml:space="preserve">. Mai mult </w:t>
      </w:r>
      <w:r w:rsidR="00D76D6A">
        <w:rPr>
          <w:rFonts w:asciiTheme="majorHAnsi" w:hAnsiTheme="majorHAnsi" w:cstheme="majorHAnsi"/>
          <w:sz w:val="24"/>
          <w:szCs w:val="24"/>
          <w:lang w:val="ro-MD"/>
        </w:rPr>
        <w:t>decât</w:t>
      </w:r>
      <w:r w:rsidR="00D76D6A" w:rsidRPr="00921938">
        <w:rPr>
          <w:rFonts w:asciiTheme="majorHAnsi" w:hAnsiTheme="majorHAnsi" w:cstheme="majorHAnsi"/>
          <w:sz w:val="24"/>
          <w:szCs w:val="24"/>
          <w:lang w:val="ro-MD"/>
        </w:rPr>
        <w:t xml:space="preserve"> </w:t>
      </w:r>
      <w:r w:rsidR="009432C1" w:rsidRPr="00921938">
        <w:rPr>
          <w:rFonts w:asciiTheme="majorHAnsi" w:hAnsiTheme="majorHAnsi" w:cstheme="majorHAnsi"/>
          <w:sz w:val="24"/>
          <w:szCs w:val="24"/>
          <w:lang w:val="ro-MD"/>
        </w:rPr>
        <w:t>atât, în anul 2019, 18 instituții de cercetări științifice, ce au ca scop de activitate</w:t>
      </w:r>
      <w:r w:rsidR="00414134">
        <w:rPr>
          <w:rFonts w:asciiTheme="majorHAnsi" w:hAnsiTheme="majorHAnsi" w:cstheme="majorHAnsi"/>
          <w:sz w:val="24"/>
          <w:szCs w:val="24"/>
          <w:lang w:val="ro-MD"/>
        </w:rPr>
        <w:t xml:space="preserve"> </w:t>
      </w:r>
      <w:r w:rsidR="009432C1" w:rsidRPr="00921938">
        <w:rPr>
          <w:rFonts w:asciiTheme="majorHAnsi" w:hAnsiTheme="majorHAnsi" w:cstheme="majorHAnsi"/>
          <w:sz w:val="24"/>
          <w:szCs w:val="24"/>
          <w:lang w:val="ro-MD"/>
        </w:rPr>
        <w:t>„cercetarea – dezvoltarea” cu obținerea unui activ nematerial (studii de cercetare, brevet, licențe și alte obiecte de proprietate intelectuala), au suportat cheltuieli în sumă totală de 259,61 mil.lei. Totodată, valoarea activelor nemateriale deținute de aceste instituții, pentru anul 2019, a constituit 7,95 mil.lei, comparativ cu 7,83 mil.lei înregistrat</w:t>
      </w:r>
      <w:r w:rsidR="00D76D6A">
        <w:rPr>
          <w:rFonts w:asciiTheme="majorHAnsi" w:hAnsiTheme="majorHAnsi" w:cstheme="majorHAnsi"/>
          <w:sz w:val="24"/>
          <w:szCs w:val="24"/>
          <w:lang w:val="ro-MD"/>
        </w:rPr>
        <w:t>e</w:t>
      </w:r>
      <w:r w:rsidR="009432C1" w:rsidRPr="00921938">
        <w:rPr>
          <w:rFonts w:asciiTheme="majorHAnsi" w:hAnsiTheme="majorHAnsi" w:cstheme="majorHAnsi"/>
          <w:sz w:val="24"/>
          <w:szCs w:val="24"/>
          <w:lang w:val="ro-MD"/>
        </w:rPr>
        <w:t xml:space="preserve"> la începutul anului 2019. Aceste instituții nu dispun nici de informații exhaustive cu privire la activele nemateriale obținute. Conform informației AGEPI</w:t>
      </w:r>
      <w:r w:rsidR="00D76D6A">
        <w:rPr>
          <w:rFonts w:asciiTheme="majorHAnsi" w:hAnsiTheme="majorHAnsi" w:cstheme="majorHAnsi"/>
          <w:sz w:val="24"/>
          <w:szCs w:val="24"/>
          <w:lang w:val="ro-MD"/>
        </w:rPr>
        <w:t>,</w:t>
      </w:r>
      <w:r w:rsidR="009432C1" w:rsidRPr="00921938">
        <w:rPr>
          <w:rFonts w:asciiTheme="majorHAnsi" w:hAnsiTheme="majorHAnsi" w:cstheme="majorHAnsi"/>
          <w:sz w:val="24"/>
          <w:szCs w:val="24"/>
          <w:lang w:val="ro-MD"/>
        </w:rPr>
        <w:t xml:space="preserve"> la 31.12.2019 după instituțiile de cercetări științifice erau înregistrate 341</w:t>
      </w:r>
      <w:r w:rsidR="00D76D6A">
        <w:rPr>
          <w:rFonts w:asciiTheme="majorHAnsi" w:hAnsiTheme="majorHAnsi" w:cstheme="majorHAnsi"/>
          <w:sz w:val="24"/>
          <w:szCs w:val="24"/>
          <w:lang w:val="ro-MD"/>
        </w:rPr>
        <w:t xml:space="preserve"> de</w:t>
      </w:r>
      <w:r w:rsidR="009432C1" w:rsidRPr="00921938">
        <w:rPr>
          <w:rFonts w:asciiTheme="majorHAnsi" w:hAnsiTheme="majorHAnsi" w:cstheme="majorHAnsi"/>
          <w:sz w:val="24"/>
          <w:szCs w:val="24"/>
          <w:lang w:val="ro-MD"/>
        </w:rPr>
        <w:t xml:space="preserve"> brevete, inclusiv 157 acordate în anul 2019</w:t>
      </w:r>
      <w:r w:rsidR="00FF0169">
        <w:rPr>
          <w:rFonts w:asciiTheme="majorHAnsi" w:hAnsiTheme="majorHAnsi" w:cstheme="majorHAnsi"/>
          <w:sz w:val="24"/>
          <w:szCs w:val="24"/>
          <w:lang w:val="ro-MD"/>
        </w:rPr>
        <w:t xml:space="preserve"> și</w:t>
      </w:r>
      <w:r w:rsidR="009432C1" w:rsidRPr="00921938">
        <w:rPr>
          <w:rFonts w:asciiTheme="majorHAnsi" w:hAnsiTheme="majorHAnsi" w:cstheme="majorHAnsi"/>
          <w:sz w:val="24"/>
          <w:szCs w:val="24"/>
          <w:lang w:val="ro-MD"/>
        </w:rPr>
        <w:t xml:space="preserve"> c</w:t>
      </w:r>
      <w:r w:rsidR="00FF0169">
        <w:rPr>
          <w:rFonts w:asciiTheme="majorHAnsi" w:hAnsiTheme="majorHAnsi" w:cstheme="majorHAnsi"/>
          <w:sz w:val="24"/>
          <w:szCs w:val="24"/>
          <w:lang w:val="ro-MD"/>
        </w:rPr>
        <w:t>ar</w:t>
      </w:r>
      <w:r w:rsidR="009432C1" w:rsidRPr="00921938">
        <w:rPr>
          <w:rFonts w:asciiTheme="majorHAnsi" w:hAnsiTheme="majorHAnsi" w:cstheme="majorHAnsi"/>
          <w:sz w:val="24"/>
          <w:szCs w:val="24"/>
          <w:lang w:val="ro-MD"/>
        </w:rPr>
        <w:t>e nu sunt contabilizate. Prin urmare, echipa de audit nu poate confirma plenitudinea și realitatea cheltuielilor suportate de aceste instituții în sumă de 259,61 mil.lei.</w:t>
      </w:r>
    </w:p>
    <w:p w14:paraId="2F83B023" w14:textId="109F9684" w:rsidR="009432C1" w:rsidRPr="00921938" w:rsidRDefault="009432C1"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sz w:val="24"/>
          <w:szCs w:val="24"/>
          <w:lang w:val="ro-MD"/>
        </w:rPr>
        <w:t>De menționat că în auditul precedent Curtea de Conturi</w:t>
      </w:r>
      <w:r w:rsidR="00414134">
        <w:rPr>
          <w:rFonts w:asciiTheme="majorHAnsi" w:hAnsiTheme="majorHAnsi" w:cstheme="majorHAnsi"/>
          <w:sz w:val="24"/>
          <w:szCs w:val="24"/>
          <w:lang w:val="ro-MD"/>
        </w:rPr>
        <w:t xml:space="preserve"> </w:t>
      </w:r>
      <w:r w:rsidRPr="00921938">
        <w:rPr>
          <w:rFonts w:asciiTheme="majorHAnsi" w:hAnsiTheme="majorHAnsi" w:cstheme="majorHAnsi"/>
          <w:sz w:val="24"/>
          <w:szCs w:val="24"/>
          <w:lang w:val="ro-MD"/>
        </w:rPr>
        <w:t xml:space="preserve">a </w:t>
      </w:r>
      <w:r w:rsidR="008E3218">
        <w:rPr>
          <w:rFonts w:asciiTheme="majorHAnsi" w:hAnsiTheme="majorHAnsi" w:cstheme="majorHAnsi"/>
          <w:sz w:val="24"/>
          <w:szCs w:val="24"/>
          <w:lang w:val="ro-MD"/>
        </w:rPr>
        <w:t>înaintat</w:t>
      </w:r>
      <w:r w:rsidRPr="00921938">
        <w:rPr>
          <w:rFonts w:asciiTheme="majorHAnsi" w:hAnsiTheme="majorHAnsi" w:cstheme="majorHAnsi"/>
          <w:sz w:val="24"/>
          <w:szCs w:val="24"/>
          <w:lang w:val="ro-MD"/>
        </w:rPr>
        <w:t xml:space="preserve"> recomandare</w:t>
      </w:r>
      <w:r w:rsidR="008E3218">
        <w:rPr>
          <w:rFonts w:asciiTheme="majorHAnsi" w:hAnsiTheme="majorHAnsi" w:cstheme="majorHAnsi"/>
          <w:sz w:val="24"/>
          <w:szCs w:val="24"/>
          <w:lang w:val="ro-MD"/>
        </w:rPr>
        <w:t>a</w:t>
      </w:r>
      <w:r w:rsidRPr="00921938">
        <w:rPr>
          <w:rFonts w:asciiTheme="majorHAnsi" w:hAnsiTheme="majorHAnsi" w:cstheme="majorHAnsi"/>
          <w:sz w:val="24"/>
          <w:szCs w:val="24"/>
          <w:lang w:val="ro-MD"/>
        </w:rPr>
        <w:t xml:space="preserve"> către MF de a completa cadrul normativ metodologic de evidență contabilă cu reglementări privind modul de reflectare în evidență a activelor materiale și nemateriale formate în cadrul entitații bugetare, însă recomandarea nu a fost implementat</w:t>
      </w:r>
      <w:r w:rsidR="008E3218">
        <w:rPr>
          <w:rFonts w:asciiTheme="majorHAnsi" w:hAnsiTheme="majorHAnsi" w:cstheme="majorHAnsi"/>
          <w:sz w:val="24"/>
          <w:szCs w:val="24"/>
          <w:lang w:val="ro-MD"/>
        </w:rPr>
        <w:t>ă,</w:t>
      </w:r>
      <w:r w:rsidRPr="00921938">
        <w:rPr>
          <w:rFonts w:asciiTheme="majorHAnsi" w:hAnsiTheme="majorHAnsi" w:cstheme="majorHAnsi"/>
          <w:sz w:val="24"/>
          <w:szCs w:val="24"/>
          <w:lang w:val="ro-MD"/>
        </w:rPr>
        <w:t xml:space="preserve"> nefiind stabilite clar formulele contabile care trebuie aplicate.</w:t>
      </w:r>
    </w:p>
    <w:p w14:paraId="6A08FAC4" w14:textId="5A6CA212" w:rsidR="009432C1" w:rsidRPr="00921938" w:rsidRDefault="009432C1"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sz w:val="24"/>
          <w:szCs w:val="24"/>
          <w:lang w:val="ro-MD"/>
        </w:rPr>
        <w:t xml:space="preserve">Deși cadrul </w:t>
      </w:r>
      <w:r w:rsidR="00A613A6">
        <w:rPr>
          <w:rFonts w:asciiTheme="majorHAnsi" w:hAnsiTheme="majorHAnsi" w:cstheme="majorHAnsi"/>
          <w:sz w:val="24"/>
          <w:szCs w:val="24"/>
          <w:lang w:val="ro-MD"/>
        </w:rPr>
        <w:t>normativ</w:t>
      </w:r>
      <w:r w:rsidR="00A613A6">
        <w:rPr>
          <w:rStyle w:val="FootnoteReference"/>
          <w:rFonts w:asciiTheme="majorHAnsi" w:hAnsiTheme="majorHAnsi" w:cstheme="majorHAnsi"/>
          <w:sz w:val="24"/>
          <w:szCs w:val="24"/>
          <w:lang w:val="ro-MD"/>
        </w:rPr>
        <w:footnoteReference w:id="51"/>
      </w:r>
      <w:r w:rsidR="00A613A6" w:rsidRPr="00921938">
        <w:rPr>
          <w:rFonts w:asciiTheme="majorHAnsi" w:hAnsiTheme="majorHAnsi" w:cstheme="majorHAnsi"/>
          <w:sz w:val="24"/>
          <w:szCs w:val="24"/>
          <w:lang w:val="ro-MD"/>
        </w:rPr>
        <w:t xml:space="preserve"> </w:t>
      </w:r>
      <w:r w:rsidRPr="00921938">
        <w:rPr>
          <w:rFonts w:asciiTheme="majorHAnsi" w:hAnsiTheme="majorHAnsi" w:cstheme="majorHAnsi"/>
          <w:sz w:val="24"/>
          <w:szCs w:val="24"/>
          <w:lang w:val="ro-MD"/>
        </w:rPr>
        <w:t>reglementează raporturilor ce ţin de elaborarea, protecţia şi utilizarea obiectelor de proprietate intelectuală create în cadrul exercitării atribuţiilor de serviciu și prevede că beneficiari ai obiectelor de proprietate intelectuală sunt întreprinderea, instituţia sau organizaţia, indiferent de</w:t>
      </w:r>
      <w:r w:rsidR="00414134">
        <w:rPr>
          <w:rFonts w:asciiTheme="majorHAnsi" w:hAnsiTheme="majorHAnsi" w:cstheme="majorHAnsi"/>
          <w:sz w:val="24"/>
          <w:szCs w:val="24"/>
          <w:lang w:val="ro-MD"/>
        </w:rPr>
        <w:t xml:space="preserve"> </w:t>
      </w:r>
      <w:r w:rsidRPr="00921938">
        <w:rPr>
          <w:rFonts w:asciiTheme="majorHAnsi" w:hAnsiTheme="majorHAnsi" w:cstheme="majorHAnsi"/>
          <w:sz w:val="24"/>
          <w:szCs w:val="24"/>
          <w:lang w:val="ro-MD"/>
        </w:rPr>
        <w:t>statutul juridic şi forma de proprietate, inclusiv organele administraţiei publice centrale sau locale, care finanţează lucrări în cadrul cărora se obțin Obiecte ale Proprietății Intelectuale</w:t>
      </w:r>
      <w:r w:rsidR="00414134">
        <w:rPr>
          <w:rFonts w:asciiTheme="majorHAnsi" w:hAnsiTheme="majorHAnsi" w:cstheme="majorHAnsi"/>
          <w:sz w:val="24"/>
          <w:szCs w:val="24"/>
          <w:lang w:val="ro-MD"/>
        </w:rPr>
        <w:t xml:space="preserve"> </w:t>
      </w:r>
      <w:r w:rsidRPr="00921938">
        <w:rPr>
          <w:rFonts w:asciiTheme="majorHAnsi" w:hAnsiTheme="majorHAnsi" w:cstheme="majorHAnsi"/>
          <w:sz w:val="24"/>
          <w:szCs w:val="24"/>
          <w:lang w:val="ro-MD"/>
        </w:rPr>
        <w:t xml:space="preserve">de serviciu, echipa de audit constată că </w:t>
      </w:r>
      <w:r w:rsidR="000E2B3D">
        <w:rPr>
          <w:rFonts w:asciiTheme="majorHAnsi" w:hAnsiTheme="majorHAnsi" w:cstheme="majorHAnsi"/>
          <w:sz w:val="24"/>
          <w:szCs w:val="24"/>
          <w:lang w:val="ro-MD"/>
        </w:rPr>
        <w:t>i</w:t>
      </w:r>
      <w:r w:rsidRPr="00921938">
        <w:rPr>
          <w:rFonts w:asciiTheme="majorHAnsi" w:hAnsiTheme="majorHAnsi" w:cstheme="majorHAnsi"/>
          <w:sz w:val="24"/>
          <w:szCs w:val="24"/>
          <w:lang w:val="ro-MD"/>
        </w:rPr>
        <w:t>nstituțiile care au contractat servicii de cercetare, invenții etc. finanțate din surse bugetare și-au îndeplinit necorespunzător obligațiile legale privind exercitarea drepturilor asupra rezultatelor acestor servicii.</w:t>
      </w:r>
    </w:p>
    <w:p w14:paraId="7589190D" w14:textId="158B02A6" w:rsidR="009432C1" w:rsidRPr="00921938" w:rsidRDefault="009432C1" w:rsidP="00325F1F">
      <w:pPr>
        <w:pStyle w:val="ListParagraph"/>
        <w:spacing w:line="276" w:lineRule="auto"/>
        <w:ind w:left="0" w:right="41"/>
        <w:rPr>
          <w:rFonts w:asciiTheme="majorHAnsi" w:eastAsia="Times New Roman" w:hAnsiTheme="majorHAnsi" w:cstheme="majorHAnsi"/>
          <w:bCs/>
          <w:sz w:val="24"/>
          <w:szCs w:val="24"/>
          <w:lang w:val="ro-MD"/>
        </w:rPr>
      </w:pPr>
      <w:r w:rsidRPr="00921938">
        <w:rPr>
          <w:rFonts w:asciiTheme="majorHAnsi" w:eastAsia="Times New Roman" w:hAnsiTheme="majorHAnsi" w:cstheme="majorHAnsi"/>
          <w:bCs/>
          <w:sz w:val="24"/>
          <w:szCs w:val="24"/>
          <w:lang w:val="ro-MD"/>
        </w:rPr>
        <w:t xml:space="preserve">De menționat că angajații </w:t>
      </w:r>
      <w:r w:rsidRPr="00921938">
        <w:rPr>
          <w:rFonts w:asciiTheme="majorHAnsi" w:eastAsia="Calibri" w:hAnsiTheme="majorHAnsi" w:cstheme="majorHAnsi"/>
          <w:sz w:val="24"/>
          <w:szCs w:val="24"/>
          <w:lang w:val="ro-MD"/>
        </w:rPr>
        <w:t>organizațiilor de drept public din domeniile cercet</w:t>
      </w:r>
      <w:r w:rsidR="000E2B3D">
        <w:rPr>
          <w:rFonts w:asciiTheme="majorHAnsi" w:eastAsia="Calibri" w:hAnsiTheme="majorHAnsi" w:cstheme="majorHAnsi"/>
          <w:sz w:val="24"/>
          <w:szCs w:val="24"/>
          <w:lang w:val="ro-MD"/>
        </w:rPr>
        <w:t>are</w:t>
      </w:r>
      <w:r w:rsidRPr="00921938">
        <w:rPr>
          <w:rFonts w:asciiTheme="majorHAnsi" w:eastAsia="Calibri" w:hAnsiTheme="majorHAnsi" w:cstheme="majorHAnsi"/>
          <w:sz w:val="24"/>
          <w:szCs w:val="24"/>
          <w:lang w:val="ro-MD"/>
        </w:rPr>
        <w:t xml:space="preserve"> și inov</w:t>
      </w:r>
      <w:r w:rsidR="000E2B3D">
        <w:rPr>
          <w:rFonts w:asciiTheme="majorHAnsi" w:eastAsia="Calibri" w:hAnsiTheme="majorHAnsi" w:cstheme="majorHAnsi"/>
          <w:sz w:val="24"/>
          <w:szCs w:val="24"/>
          <w:lang w:val="ro-MD"/>
        </w:rPr>
        <w:t>are</w:t>
      </w:r>
      <w:r w:rsidRPr="00921938">
        <w:rPr>
          <w:rFonts w:asciiTheme="majorHAnsi" w:eastAsia="Times New Roman" w:hAnsiTheme="majorHAnsi" w:cstheme="majorHAnsi"/>
          <w:bCs/>
          <w:sz w:val="24"/>
          <w:szCs w:val="24"/>
          <w:lang w:val="ro-MD"/>
        </w:rPr>
        <w:t xml:space="preserve"> au fost antrenați suplimentar în proiecte științifice prin încheierea contractelor de prestări servicii în sumă de 6,8 mil.lei, deși conform cadrului normativ</w:t>
      </w:r>
      <w:r w:rsidRPr="00921938">
        <w:rPr>
          <w:rStyle w:val="FootnoteReference"/>
          <w:rFonts w:asciiTheme="majorHAnsi" w:eastAsia="Times New Roman" w:hAnsiTheme="majorHAnsi" w:cstheme="majorHAnsi"/>
          <w:bCs/>
          <w:sz w:val="24"/>
          <w:szCs w:val="24"/>
          <w:lang w:val="ro-MD"/>
        </w:rPr>
        <w:footnoteReference w:id="52"/>
      </w:r>
      <w:r w:rsidRPr="00921938">
        <w:rPr>
          <w:rFonts w:asciiTheme="majorHAnsi" w:eastAsia="Times New Roman" w:hAnsiTheme="majorHAnsi" w:cstheme="majorHAnsi"/>
          <w:bCs/>
          <w:sz w:val="24"/>
          <w:szCs w:val="24"/>
          <w:lang w:val="ro-MD"/>
        </w:rPr>
        <w:t xml:space="preserve"> urmau a fi încheiate contracte individuale de muncă prin cumul.</w:t>
      </w:r>
    </w:p>
    <w:p w14:paraId="7E770A1A" w14:textId="1CB2641D" w:rsidR="00030172" w:rsidRPr="00921938" w:rsidRDefault="00B06123" w:rsidP="00325F1F">
      <w:pPr>
        <w:pStyle w:val="NormalWeb"/>
        <w:spacing w:line="276" w:lineRule="auto"/>
        <w:ind w:firstLine="0"/>
        <w:rPr>
          <w:rFonts w:asciiTheme="majorHAnsi" w:hAnsiTheme="majorHAnsi" w:cs="Calibri"/>
          <w:lang w:val="ro-MD"/>
        </w:rPr>
      </w:pPr>
      <w:r w:rsidRPr="00921938">
        <w:rPr>
          <w:rFonts w:asciiTheme="majorHAnsi" w:hAnsiTheme="majorHAnsi" w:cstheme="majorHAnsi"/>
          <w:b/>
          <w:bCs/>
          <w:lang w:val="ro-MD"/>
        </w:rPr>
        <w:t>5</w:t>
      </w:r>
      <w:r w:rsidR="00030172" w:rsidRPr="00921938">
        <w:rPr>
          <w:rFonts w:asciiTheme="majorHAnsi" w:hAnsiTheme="majorHAnsi" w:cstheme="majorHAnsi"/>
          <w:b/>
          <w:bCs/>
          <w:lang w:val="ro-MD"/>
        </w:rPr>
        <w:t>.</w:t>
      </w:r>
      <w:r w:rsidRPr="00921938">
        <w:rPr>
          <w:rFonts w:asciiTheme="majorHAnsi" w:hAnsiTheme="majorHAnsi" w:cstheme="majorHAnsi"/>
          <w:b/>
          <w:bCs/>
          <w:lang w:val="ro-MD"/>
        </w:rPr>
        <w:t>8</w:t>
      </w:r>
      <w:r w:rsidR="00030172" w:rsidRPr="00921938">
        <w:rPr>
          <w:rFonts w:asciiTheme="majorHAnsi" w:hAnsiTheme="majorHAnsi" w:cstheme="majorHAnsi"/>
          <w:b/>
          <w:bCs/>
          <w:lang w:val="ro-MD"/>
        </w:rPr>
        <w:t>.</w:t>
      </w:r>
      <w:r w:rsidR="00030172" w:rsidRPr="00921938">
        <w:rPr>
          <w:rFonts w:asciiTheme="majorHAnsi" w:hAnsiTheme="majorHAnsi" w:cstheme="majorHAnsi"/>
          <w:lang w:val="ro-MD"/>
        </w:rPr>
        <w:t xml:space="preserve"> În conformitate cu prevederile regulamentare</w:t>
      </w:r>
      <w:r w:rsidR="00030172" w:rsidRPr="00921938">
        <w:rPr>
          <w:rStyle w:val="FootnoteReference"/>
          <w:rFonts w:asciiTheme="majorHAnsi" w:hAnsiTheme="majorHAnsi" w:cstheme="majorHAnsi"/>
          <w:lang w:val="ro-MD"/>
        </w:rPr>
        <w:footnoteReference w:id="53"/>
      </w:r>
      <w:r w:rsidR="000E2B3D">
        <w:rPr>
          <w:rFonts w:asciiTheme="majorHAnsi" w:hAnsiTheme="majorHAnsi" w:cstheme="majorHAnsi"/>
          <w:lang w:val="ro-MD"/>
        </w:rPr>
        <w:t>,</w:t>
      </w:r>
      <w:r w:rsidR="00030172" w:rsidRPr="00921938">
        <w:rPr>
          <w:rFonts w:asciiTheme="majorHAnsi" w:hAnsiTheme="majorHAnsi" w:cstheme="majorHAnsi"/>
          <w:lang w:val="ro-MD"/>
        </w:rPr>
        <w:t xml:space="preserve"> manualele pentru elevi sunt proprietate a MECC și sunt transmise în custodie organelor locale de specialitate în domeniul învățământului</w:t>
      </w:r>
      <w:r w:rsidR="000E2B3D">
        <w:rPr>
          <w:rFonts w:asciiTheme="majorHAnsi" w:hAnsiTheme="majorHAnsi" w:cstheme="majorHAnsi"/>
          <w:lang w:val="ro-MD"/>
        </w:rPr>
        <w:t>,</w:t>
      </w:r>
      <w:r w:rsidR="00030172" w:rsidRPr="00921938">
        <w:rPr>
          <w:rFonts w:asciiTheme="majorHAnsi" w:hAnsiTheme="majorHAnsi" w:cstheme="majorHAnsi"/>
          <w:lang w:val="ro-MD"/>
        </w:rPr>
        <w:t xml:space="preserve"> pentru utilizare în instituțiile de învățământ. </w:t>
      </w:r>
      <w:r w:rsidR="00030172" w:rsidRPr="00921938">
        <w:rPr>
          <w:rFonts w:asciiTheme="majorHAnsi" w:hAnsiTheme="majorHAnsi" w:cs="Calibri"/>
          <w:lang w:val="ro-MD"/>
        </w:rPr>
        <w:t>Astfel, 27 de direcții raionale/municipale de învățământ (cu excepția a 8 direcții raionale, instituțiilor de învățământ general din subordinea MECC și secundar tehnic profesional) au confirmat că dețin în administrare un fond de manuale de 137</w:t>
      </w:r>
      <w:r w:rsidR="00F02B99">
        <w:rPr>
          <w:rFonts w:asciiTheme="majorHAnsi" w:hAnsiTheme="majorHAnsi" w:cs="Calibri"/>
          <w:lang w:val="ro-MD"/>
        </w:rPr>
        <w:t>,</w:t>
      </w:r>
      <w:r w:rsidR="00030172" w:rsidRPr="00921938">
        <w:rPr>
          <w:rFonts w:asciiTheme="majorHAnsi" w:hAnsiTheme="majorHAnsi" w:cs="Calibri"/>
          <w:lang w:val="ro-MD"/>
        </w:rPr>
        <w:t>5 mil.lei.</w:t>
      </w:r>
    </w:p>
    <w:p w14:paraId="37CB9356" w14:textId="61A8D4FB" w:rsidR="00030172" w:rsidRPr="00921938" w:rsidRDefault="00030172" w:rsidP="00325F1F">
      <w:pPr>
        <w:spacing w:after="0" w:line="276" w:lineRule="auto"/>
        <w:ind w:right="-43"/>
        <w:jc w:val="both"/>
        <w:rPr>
          <w:rFonts w:asciiTheme="majorHAnsi" w:hAnsiTheme="majorHAnsi" w:cstheme="majorHAnsi"/>
          <w:bCs/>
          <w:sz w:val="24"/>
          <w:szCs w:val="24"/>
          <w:lang w:val="ro-MD"/>
        </w:rPr>
      </w:pPr>
      <w:r w:rsidRPr="00921938">
        <w:rPr>
          <w:rFonts w:asciiTheme="majorHAnsi" w:hAnsiTheme="majorHAnsi" w:cstheme="majorHAnsi"/>
          <w:bCs/>
          <w:sz w:val="24"/>
          <w:szCs w:val="24"/>
          <w:lang w:val="ro-MD"/>
        </w:rPr>
        <w:lastRenderedPageBreak/>
        <w:t>Conform datelor Agenției Achiziții Publice</w:t>
      </w:r>
      <w:r w:rsidR="000E2B3D">
        <w:rPr>
          <w:rFonts w:asciiTheme="majorHAnsi" w:hAnsiTheme="majorHAnsi" w:cstheme="majorHAnsi"/>
          <w:bCs/>
          <w:sz w:val="24"/>
          <w:szCs w:val="24"/>
          <w:lang w:val="ro-MD"/>
        </w:rPr>
        <w:t>,</w:t>
      </w:r>
      <w:r w:rsidRPr="00921938">
        <w:rPr>
          <w:rFonts w:asciiTheme="majorHAnsi" w:hAnsiTheme="majorHAnsi" w:cstheme="majorHAnsi"/>
          <w:bCs/>
          <w:sz w:val="24"/>
          <w:szCs w:val="24"/>
          <w:lang w:val="ro-MD"/>
        </w:rPr>
        <w:t xml:space="preserve"> în perioada 2011-2019 MECC a procurat manuale școlare și didactice </w:t>
      </w:r>
      <w:r w:rsidR="000E2B3D">
        <w:rPr>
          <w:rFonts w:asciiTheme="majorHAnsi" w:hAnsiTheme="majorHAnsi" w:cstheme="majorHAnsi"/>
          <w:bCs/>
          <w:sz w:val="24"/>
          <w:szCs w:val="24"/>
          <w:lang w:val="ro-MD"/>
        </w:rPr>
        <w:t xml:space="preserve">în sumă </w:t>
      </w:r>
      <w:r w:rsidRPr="00921938">
        <w:rPr>
          <w:rFonts w:asciiTheme="majorHAnsi" w:hAnsiTheme="majorHAnsi" w:cstheme="majorHAnsi"/>
          <w:bCs/>
          <w:sz w:val="24"/>
          <w:szCs w:val="24"/>
          <w:lang w:val="ro-MD"/>
        </w:rPr>
        <w:t>de 202,1 mil.lei</w:t>
      </w:r>
      <w:r w:rsidRPr="00921938">
        <w:rPr>
          <w:rStyle w:val="FootnoteReference"/>
          <w:rFonts w:asciiTheme="majorHAnsi" w:hAnsiTheme="majorHAnsi" w:cstheme="majorHAnsi"/>
          <w:bCs/>
          <w:sz w:val="24"/>
          <w:szCs w:val="24"/>
          <w:lang w:val="ro-MD"/>
        </w:rPr>
        <w:footnoteReference w:id="54"/>
      </w:r>
      <w:r w:rsidRPr="00921938">
        <w:rPr>
          <w:rFonts w:asciiTheme="majorHAnsi" w:hAnsiTheme="majorHAnsi" w:cstheme="majorHAnsi"/>
          <w:b/>
          <w:bCs/>
          <w:sz w:val="24"/>
          <w:szCs w:val="24"/>
          <w:lang w:val="ro-MD"/>
        </w:rPr>
        <w:t xml:space="preserve"> </w:t>
      </w:r>
      <w:r w:rsidRPr="00921938">
        <w:rPr>
          <w:rFonts w:asciiTheme="majorHAnsi" w:hAnsiTheme="majorHAnsi" w:cstheme="majorHAnsi"/>
          <w:bCs/>
          <w:sz w:val="24"/>
          <w:szCs w:val="24"/>
          <w:lang w:val="ro-MD"/>
        </w:rPr>
        <w:t>(din care</w:t>
      </w:r>
      <w:r w:rsidR="000E2B3D">
        <w:rPr>
          <w:rFonts w:asciiTheme="majorHAnsi" w:hAnsiTheme="majorHAnsi" w:cstheme="majorHAnsi"/>
          <w:bCs/>
          <w:sz w:val="24"/>
          <w:szCs w:val="24"/>
          <w:lang w:val="ro-MD"/>
        </w:rPr>
        <w:t>,</w:t>
      </w:r>
      <w:r w:rsidRPr="00921938">
        <w:rPr>
          <w:rFonts w:asciiTheme="majorHAnsi" w:hAnsiTheme="majorHAnsi" w:cstheme="majorHAnsi"/>
          <w:bCs/>
          <w:sz w:val="24"/>
          <w:szCs w:val="24"/>
          <w:lang w:val="ro-MD"/>
        </w:rPr>
        <w:t xml:space="preserve"> în anii 2017-2019</w:t>
      </w:r>
      <w:r w:rsidR="000E2B3D">
        <w:rPr>
          <w:rFonts w:asciiTheme="majorHAnsi" w:hAnsiTheme="majorHAnsi" w:cstheme="majorHAnsi"/>
          <w:bCs/>
          <w:sz w:val="24"/>
          <w:szCs w:val="24"/>
          <w:lang w:val="ro-MD"/>
        </w:rPr>
        <w:t>,</w:t>
      </w:r>
      <w:r w:rsidRPr="00921938">
        <w:rPr>
          <w:rFonts w:asciiTheme="majorHAnsi" w:hAnsiTheme="majorHAnsi" w:cstheme="majorHAnsi"/>
          <w:bCs/>
          <w:sz w:val="24"/>
          <w:szCs w:val="24"/>
          <w:lang w:val="ro-MD"/>
        </w:rPr>
        <w:t xml:space="preserve"> de </w:t>
      </w:r>
      <w:r w:rsidR="00516E41">
        <w:rPr>
          <w:rFonts w:asciiTheme="majorHAnsi" w:hAnsiTheme="majorHAnsi" w:cstheme="majorHAnsi"/>
          <w:bCs/>
          <w:sz w:val="24"/>
          <w:szCs w:val="24"/>
          <w:lang w:val="ro-MD"/>
        </w:rPr>
        <w:t xml:space="preserve">către </w:t>
      </w:r>
      <w:r w:rsidRPr="00921938">
        <w:rPr>
          <w:rFonts w:asciiTheme="majorHAnsi" w:hAnsiTheme="majorHAnsi" w:cstheme="majorHAnsi"/>
          <w:bCs/>
          <w:sz w:val="24"/>
          <w:szCs w:val="24"/>
          <w:lang w:val="ro-MD"/>
        </w:rPr>
        <w:t xml:space="preserve">Aparatul MECC </w:t>
      </w:r>
      <w:r w:rsidR="000E2B3D">
        <w:rPr>
          <w:rFonts w:asciiTheme="majorHAnsi" w:hAnsiTheme="majorHAnsi" w:cstheme="majorHAnsi"/>
          <w:bCs/>
          <w:sz w:val="24"/>
          <w:szCs w:val="24"/>
          <w:lang w:val="ro-MD"/>
        </w:rPr>
        <w:t xml:space="preserve">în valoare </w:t>
      </w:r>
      <w:r w:rsidRPr="00921938">
        <w:rPr>
          <w:rFonts w:asciiTheme="majorHAnsi" w:hAnsiTheme="majorHAnsi" w:cstheme="majorHAnsi"/>
          <w:bCs/>
          <w:sz w:val="24"/>
          <w:szCs w:val="24"/>
          <w:lang w:val="ro-MD"/>
        </w:rPr>
        <w:t>de 32,3 mil.lei)</w:t>
      </w:r>
      <w:r w:rsidRPr="00921938">
        <w:rPr>
          <w:rStyle w:val="FootnoteReference"/>
          <w:rFonts w:asciiTheme="majorHAnsi" w:hAnsiTheme="majorHAnsi" w:cstheme="majorHAnsi"/>
          <w:bCs/>
          <w:sz w:val="24"/>
          <w:szCs w:val="24"/>
          <w:lang w:val="ro-MD"/>
        </w:rPr>
        <w:footnoteReference w:id="55"/>
      </w:r>
      <w:r w:rsidRPr="00921938">
        <w:rPr>
          <w:rFonts w:asciiTheme="majorHAnsi" w:hAnsiTheme="majorHAnsi" w:cstheme="majorHAnsi"/>
          <w:bCs/>
          <w:sz w:val="24"/>
          <w:szCs w:val="24"/>
          <w:lang w:val="ro-MD"/>
        </w:rPr>
        <w:t>, care au fost atribuite nejustificat la cheltuieli.</w:t>
      </w:r>
      <w:r w:rsidR="00414134">
        <w:rPr>
          <w:rFonts w:asciiTheme="majorHAnsi" w:hAnsiTheme="majorHAnsi" w:cstheme="majorHAnsi"/>
          <w:bCs/>
          <w:sz w:val="24"/>
          <w:szCs w:val="24"/>
          <w:lang w:val="ro-MD"/>
        </w:rPr>
        <w:t xml:space="preserve"> </w:t>
      </w:r>
    </w:p>
    <w:p w14:paraId="17E028E1" w14:textId="3B4EF4A9" w:rsidR="00030172" w:rsidRPr="00921938" w:rsidRDefault="00030172" w:rsidP="00325F1F">
      <w:pPr>
        <w:spacing w:after="0" w:line="276" w:lineRule="auto"/>
        <w:ind w:right="-37"/>
        <w:jc w:val="both"/>
        <w:rPr>
          <w:rFonts w:asciiTheme="majorHAnsi" w:hAnsiTheme="majorHAnsi" w:cstheme="majorHAnsi"/>
          <w:sz w:val="24"/>
          <w:szCs w:val="24"/>
          <w:lang w:val="ro-MD"/>
        </w:rPr>
      </w:pPr>
      <w:r w:rsidRPr="00921938">
        <w:rPr>
          <w:rFonts w:asciiTheme="majorHAnsi" w:hAnsiTheme="majorHAnsi" w:cstheme="majorHAnsi"/>
          <w:sz w:val="24"/>
          <w:szCs w:val="24"/>
          <w:lang w:val="ro-MD"/>
        </w:rPr>
        <w:t>La 31.12.2019,</w:t>
      </w:r>
      <w:r w:rsidR="000E2B3D">
        <w:rPr>
          <w:rFonts w:asciiTheme="majorHAnsi" w:hAnsiTheme="majorHAnsi" w:cstheme="majorHAnsi"/>
          <w:sz w:val="24"/>
          <w:szCs w:val="24"/>
          <w:lang w:val="ro-MD"/>
        </w:rPr>
        <w:t xml:space="preserve"> cu referire</w:t>
      </w:r>
      <w:r w:rsidRPr="00921938">
        <w:rPr>
          <w:rFonts w:asciiTheme="majorHAnsi" w:hAnsiTheme="majorHAnsi" w:cstheme="majorHAnsi"/>
          <w:sz w:val="24"/>
          <w:szCs w:val="24"/>
          <w:lang w:val="ro-MD"/>
        </w:rPr>
        <w:t xml:space="preserve"> la Fondul Special de Manuale (FSM), doar fondul de manuale încadrat în schema de închiriere constituia 3,55 mil. exemplare</w:t>
      </w:r>
      <w:r w:rsidR="000E2B3D">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în valoare totală de 106,1 mil.lei, care nu era înregistrat în evidența și </w:t>
      </w:r>
      <w:r w:rsidR="000E2B3D">
        <w:rPr>
          <w:rFonts w:asciiTheme="majorHAnsi" w:hAnsiTheme="majorHAnsi" w:cstheme="majorHAnsi"/>
          <w:sz w:val="24"/>
          <w:szCs w:val="24"/>
          <w:lang w:val="ro-MD"/>
        </w:rPr>
        <w:t xml:space="preserve">în </w:t>
      </w:r>
      <w:r w:rsidRPr="00921938">
        <w:rPr>
          <w:rFonts w:asciiTheme="majorHAnsi" w:hAnsiTheme="majorHAnsi" w:cstheme="majorHAnsi"/>
          <w:sz w:val="24"/>
          <w:szCs w:val="24"/>
          <w:lang w:val="ro-MD"/>
        </w:rPr>
        <w:t>rapoartele financiare consolidate ale MECC. În același timp, conform sistemului informațional al FSM</w:t>
      </w:r>
      <w:r w:rsidR="000E2B3D">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w:t>
      </w:r>
      <w:r w:rsidR="00516E41">
        <w:rPr>
          <w:rFonts w:asciiTheme="majorHAnsi" w:hAnsiTheme="majorHAnsi" w:cstheme="majorHAnsi"/>
          <w:sz w:val="24"/>
          <w:szCs w:val="24"/>
          <w:lang w:val="ro-MD"/>
        </w:rPr>
        <w:t>erau</w:t>
      </w:r>
      <w:r w:rsidRPr="00921938">
        <w:rPr>
          <w:rFonts w:asciiTheme="majorHAnsi" w:hAnsiTheme="majorHAnsi" w:cstheme="majorHAnsi"/>
          <w:sz w:val="24"/>
          <w:szCs w:val="24"/>
          <w:lang w:val="ro-MD"/>
        </w:rPr>
        <w:t xml:space="preserve"> raportate 4,15 mil. exemplare (+0,6 mil.). Deoarece finanțarea achizițiilor de manuale s-a efectuat din diferite surse, iar evidența manualelor nu este una univocă, echipa de audit nu a fost în măsură să determine fără echivoc valoarea manualelor transmise în licee și în instituțiile de învățământ profesional tehnic.</w:t>
      </w:r>
    </w:p>
    <w:p w14:paraId="0D8D0307" w14:textId="368D4381" w:rsidR="00030172" w:rsidRPr="00921938" w:rsidRDefault="00516E41" w:rsidP="00325F1F">
      <w:pPr>
        <w:spacing w:after="0" w:line="276" w:lineRule="auto"/>
        <w:ind w:right="-37"/>
        <w:jc w:val="both"/>
        <w:rPr>
          <w:rFonts w:asciiTheme="majorHAnsi" w:hAnsiTheme="majorHAnsi" w:cstheme="majorHAnsi"/>
          <w:sz w:val="24"/>
          <w:szCs w:val="24"/>
          <w:lang w:val="ro-MD"/>
        </w:rPr>
      </w:pPr>
      <w:r>
        <w:rPr>
          <w:rFonts w:asciiTheme="majorHAnsi" w:hAnsiTheme="majorHAnsi" w:cstheme="majorHAnsi"/>
          <w:i/>
          <w:sz w:val="24"/>
          <w:szCs w:val="24"/>
          <w:lang w:val="ro-MD"/>
        </w:rPr>
        <w:t>O s</w:t>
      </w:r>
      <w:r w:rsidR="00030172" w:rsidRPr="00921938">
        <w:rPr>
          <w:rFonts w:asciiTheme="majorHAnsi" w:hAnsiTheme="majorHAnsi" w:cstheme="majorHAnsi"/>
          <w:i/>
          <w:sz w:val="24"/>
          <w:szCs w:val="24"/>
          <w:lang w:val="ro-MD"/>
        </w:rPr>
        <w:t>ituație similară se constată la tipărirea și gestiunea materialelor pentru scopuri didactice.</w:t>
      </w:r>
      <w:r w:rsidR="00030172" w:rsidRPr="00921938">
        <w:rPr>
          <w:rFonts w:asciiTheme="majorHAnsi" w:hAnsiTheme="majorHAnsi" w:cstheme="majorHAnsi"/>
          <w:sz w:val="24"/>
          <w:szCs w:val="24"/>
          <w:lang w:val="ro-MD"/>
        </w:rPr>
        <w:t xml:space="preserve"> Astfel, înregistrarea la contul 335 a transmiterii în anul 2019 a bunurilor materiale în scopuri didactice de 250,5 mii lei s-a efectuat neregulamentar</w:t>
      </w:r>
      <w:r>
        <w:rPr>
          <w:rFonts w:asciiTheme="majorHAnsi" w:hAnsiTheme="majorHAnsi" w:cstheme="majorHAnsi"/>
          <w:sz w:val="24"/>
          <w:szCs w:val="24"/>
          <w:lang w:val="ro-MD"/>
        </w:rPr>
        <w:t>,</w:t>
      </w:r>
      <w:r w:rsidR="00030172" w:rsidRPr="00921938">
        <w:rPr>
          <w:rFonts w:asciiTheme="majorHAnsi" w:hAnsiTheme="majorHAnsi" w:cstheme="majorHAnsi"/>
          <w:sz w:val="24"/>
          <w:szCs w:val="24"/>
          <w:lang w:val="ro-MD"/>
        </w:rPr>
        <w:t xml:space="preserve"> în lipsa temeiului (ordin, acte </w:t>
      </w:r>
      <w:r>
        <w:rPr>
          <w:rFonts w:asciiTheme="majorHAnsi" w:hAnsiTheme="majorHAnsi" w:cstheme="majorHAnsi"/>
          <w:sz w:val="24"/>
          <w:szCs w:val="24"/>
          <w:lang w:val="ro-MD"/>
        </w:rPr>
        <w:t xml:space="preserve">de </w:t>
      </w:r>
      <w:r w:rsidR="00030172" w:rsidRPr="00921938">
        <w:rPr>
          <w:rFonts w:asciiTheme="majorHAnsi" w:hAnsiTheme="majorHAnsi" w:cstheme="majorHAnsi"/>
          <w:sz w:val="24"/>
          <w:szCs w:val="24"/>
          <w:lang w:val="ro-MD"/>
        </w:rPr>
        <w:t>primire-predare).</w:t>
      </w:r>
    </w:p>
    <w:p w14:paraId="75B9DB5D" w14:textId="03E01B7B" w:rsidR="00030172" w:rsidRPr="00921938" w:rsidRDefault="00030172"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sz w:val="24"/>
          <w:szCs w:val="24"/>
          <w:lang w:val="ro-MD"/>
        </w:rPr>
        <w:t xml:space="preserve">La procurarea și repartizarea fondului de manuale/didactic nu există o evidență uniformă la MECC, FSM și Direcțiile de învățământ raionale/municipale. De asemenea, nu este efectuat un control regulamentar privind decontarea și înregistrarea </w:t>
      </w:r>
      <w:r w:rsidRPr="002F164F">
        <w:rPr>
          <w:rFonts w:asciiTheme="majorHAnsi" w:hAnsiTheme="majorHAnsi" w:cstheme="majorHAnsi"/>
          <w:sz w:val="24"/>
          <w:szCs w:val="24"/>
          <w:lang w:val="ro-MD"/>
        </w:rPr>
        <w:t xml:space="preserve">veniturilor din </w:t>
      </w:r>
      <w:r w:rsidR="00516E41" w:rsidRPr="002F164F">
        <w:rPr>
          <w:rFonts w:asciiTheme="majorHAnsi" w:hAnsiTheme="majorHAnsi" w:cstheme="majorHAnsi"/>
          <w:sz w:val="24"/>
          <w:szCs w:val="24"/>
          <w:lang w:val="ro-MD"/>
        </w:rPr>
        <w:t xml:space="preserve">comercializarea </w:t>
      </w:r>
      <w:r w:rsidRPr="002F164F">
        <w:rPr>
          <w:rFonts w:asciiTheme="majorHAnsi" w:hAnsiTheme="majorHAnsi" w:cstheme="majorHAnsi"/>
          <w:sz w:val="24"/>
          <w:szCs w:val="24"/>
          <w:lang w:val="ro-MD"/>
        </w:rPr>
        <w:t>fondului</w:t>
      </w:r>
      <w:r w:rsidRPr="00921938">
        <w:rPr>
          <w:rFonts w:asciiTheme="majorHAnsi" w:hAnsiTheme="majorHAnsi" w:cstheme="majorHAnsi"/>
          <w:sz w:val="24"/>
          <w:szCs w:val="24"/>
          <w:lang w:val="ro-MD"/>
        </w:rPr>
        <w:t xml:space="preserve"> de manuale/didactic uzat. </w:t>
      </w:r>
    </w:p>
    <w:p w14:paraId="762164FC" w14:textId="359BAD16" w:rsidR="00030172" w:rsidRPr="00921938" w:rsidRDefault="00030172" w:rsidP="00325F1F">
      <w:pPr>
        <w:spacing w:after="0" w:line="276" w:lineRule="auto"/>
        <w:jc w:val="both"/>
        <w:rPr>
          <w:rFonts w:asciiTheme="majorHAnsi" w:hAnsiTheme="majorHAnsi" w:cstheme="majorHAnsi"/>
          <w:bCs/>
          <w:sz w:val="24"/>
          <w:szCs w:val="28"/>
          <w:lang w:val="ro-MD"/>
        </w:rPr>
      </w:pPr>
      <w:r w:rsidRPr="00921938">
        <w:rPr>
          <w:rFonts w:asciiTheme="majorHAnsi" w:hAnsiTheme="majorHAnsi" w:cstheme="majorHAnsi"/>
          <w:sz w:val="24"/>
          <w:szCs w:val="24"/>
          <w:lang w:val="ro-MD"/>
        </w:rPr>
        <w:t xml:space="preserve">Lipsa unei evidențe conforme a primirii și repartizării manualelor s-a confirmat urmare a verificării la MECC a corespunderii soldului </w:t>
      </w:r>
      <w:r w:rsidR="00FC7B31">
        <w:rPr>
          <w:rFonts w:asciiTheme="majorHAnsi" w:hAnsiTheme="majorHAnsi" w:cstheme="majorHAnsi"/>
          <w:sz w:val="24"/>
          <w:szCs w:val="24"/>
          <w:lang w:val="ro-MD"/>
        </w:rPr>
        <w:t xml:space="preserve">aferent </w:t>
      </w:r>
      <w:r w:rsidRPr="00921938">
        <w:rPr>
          <w:rFonts w:asciiTheme="majorHAnsi" w:hAnsiTheme="majorHAnsi" w:cstheme="majorHAnsi"/>
          <w:bCs/>
          <w:sz w:val="24"/>
          <w:szCs w:val="28"/>
          <w:lang w:val="ro-MD"/>
        </w:rPr>
        <w:t>contului 318, conform situației din 01.05.2020</w:t>
      </w:r>
      <w:r w:rsidR="00FC7B31">
        <w:rPr>
          <w:rFonts w:asciiTheme="majorHAnsi" w:hAnsiTheme="majorHAnsi" w:cstheme="majorHAnsi"/>
          <w:bCs/>
          <w:sz w:val="24"/>
          <w:szCs w:val="28"/>
          <w:lang w:val="ro-MD"/>
        </w:rPr>
        <w:t>,</w:t>
      </w:r>
      <w:r w:rsidRPr="00921938">
        <w:rPr>
          <w:rFonts w:asciiTheme="majorHAnsi" w:hAnsiTheme="majorHAnsi" w:cstheme="majorHAnsi"/>
          <w:bCs/>
          <w:sz w:val="24"/>
          <w:szCs w:val="28"/>
          <w:lang w:val="ro-MD"/>
        </w:rPr>
        <w:t xml:space="preserve"> în sumă de</w:t>
      </w:r>
      <w:r w:rsidRPr="00921938">
        <w:rPr>
          <w:rFonts w:asciiTheme="majorHAnsi" w:hAnsiTheme="majorHAnsi" w:cstheme="majorHAnsi"/>
          <w:sz w:val="24"/>
          <w:lang w:val="ro-MD"/>
        </w:rPr>
        <w:t xml:space="preserve"> 17,0 mil.</w:t>
      </w:r>
      <w:r w:rsidRPr="00921938">
        <w:rPr>
          <w:rFonts w:asciiTheme="majorHAnsi" w:hAnsiTheme="majorHAnsi" w:cstheme="majorHAnsi"/>
          <w:bCs/>
          <w:sz w:val="24"/>
          <w:szCs w:val="28"/>
          <w:lang w:val="ro-MD"/>
        </w:rPr>
        <w:t>lei, situației reale, fiind constatată lipsa fondului didactic în valoare totală de circa 5,1 mil.lei. Astfel, repartizarea fondului de bibliotecă către instituțiile de profil din republică se efectuează prin intermediul Bibliotecii Naționale, fără a dispune de acte de primire-predare/facturi și fără înregistarea valorii bunurilor recepționate/transmise.</w:t>
      </w:r>
    </w:p>
    <w:p w14:paraId="7A2C0E74" w14:textId="4717D972" w:rsidR="00030172" w:rsidRPr="00921938" w:rsidRDefault="00030172" w:rsidP="00325F1F">
      <w:pPr>
        <w:pStyle w:val="ListParagraph"/>
        <w:spacing w:line="276" w:lineRule="auto"/>
        <w:ind w:left="0"/>
        <w:contextualSpacing w:val="0"/>
        <w:rPr>
          <w:rFonts w:asciiTheme="majorHAnsi" w:hAnsiTheme="majorHAnsi" w:cstheme="majorHAnsi"/>
          <w:bCs/>
          <w:sz w:val="24"/>
          <w:szCs w:val="28"/>
          <w:lang w:val="ro-MD"/>
        </w:rPr>
      </w:pPr>
      <w:r w:rsidRPr="00921938">
        <w:rPr>
          <w:rFonts w:asciiTheme="majorHAnsi" w:hAnsiTheme="majorHAnsi" w:cstheme="majorHAnsi"/>
          <w:bCs/>
          <w:i/>
          <w:sz w:val="24"/>
          <w:szCs w:val="24"/>
          <w:lang w:val="ro-MD"/>
        </w:rPr>
        <w:t xml:space="preserve">Instituțiile publice urmează să asigure o corelare între evidența biblioteconomică și cea contabilă, prin aplicarea unor criterii și sisteme de identificare comună, </w:t>
      </w:r>
      <w:r w:rsidRPr="00921938">
        <w:rPr>
          <w:rFonts w:asciiTheme="majorHAnsi" w:hAnsiTheme="majorHAnsi" w:cstheme="majorHAnsi"/>
          <w:i/>
          <w:sz w:val="24"/>
          <w:szCs w:val="24"/>
          <w:lang w:val="ro-MD"/>
        </w:rPr>
        <w:t>compatibilitate a unităților de evidență, cu verificarea în mod obligatoriu a documentelor care stau la baza evidenței primare.</w:t>
      </w:r>
      <w:r w:rsidRPr="00921938">
        <w:rPr>
          <w:rFonts w:asciiTheme="majorHAnsi" w:hAnsiTheme="majorHAnsi" w:cstheme="majorHAnsi"/>
          <w:bCs/>
          <w:i/>
          <w:sz w:val="24"/>
          <w:szCs w:val="24"/>
          <w:lang w:val="ro-MD"/>
        </w:rPr>
        <w:t xml:space="preserve"> </w:t>
      </w:r>
      <w:r w:rsidRPr="00921938">
        <w:rPr>
          <w:rFonts w:asciiTheme="majorHAnsi" w:hAnsiTheme="majorHAnsi" w:cstheme="majorHAnsi"/>
          <w:bCs/>
          <w:sz w:val="24"/>
          <w:szCs w:val="24"/>
          <w:lang w:val="ro-MD"/>
        </w:rPr>
        <w:t>Echipa de a</w:t>
      </w:r>
      <w:r w:rsidRPr="00921938">
        <w:rPr>
          <w:rFonts w:asciiTheme="majorHAnsi" w:hAnsiTheme="majorHAnsi" w:cstheme="majorHAnsi"/>
          <w:bCs/>
          <w:sz w:val="24"/>
          <w:szCs w:val="28"/>
          <w:lang w:val="ro-MD"/>
        </w:rPr>
        <w:t xml:space="preserve">uditul a constatat în unele cazuri divergențe între fondul biblioteconomic și cel contabil raportat, valoarea denaturărilor totale la 31.12.2019 a constituit </w:t>
      </w:r>
      <w:r w:rsidR="005C1794">
        <w:rPr>
          <w:rFonts w:asciiTheme="majorHAnsi" w:hAnsiTheme="majorHAnsi" w:cstheme="majorHAnsi"/>
          <w:bCs/>
          <w:sz w:val="24"/>
          <w:szCs w:val="28"/>
          <w:lang w:val="ro-MD"/>
        </w:rPr>
        <w:t xml:space="preserve">la </w:t>
      </w:r>
      <w:r w:rsidR="00FC7B31">
        <w:rPr>
          <w:rFonts w:asciiTheme="majorHAnsi" w:hAnsiTheme="majorHAnsi" w:cstheme="majorHAnsi"/>
          <w:bCs/>
          <w:sz w:val="24"/>
          <w:szCs w:val="28"/>
          <w:lang w:val="ro-MD"/>
        </w:rPr>
        <w:t>o</w:t>
      </w:r>
      <w:r w:rsidRPr="00921938">
        <w:rPr>
          <w:rFonts w:asciiTheme="majorHAnsi" w:hAnsiTheme="majorHAnsi" w:cstheme="majorHAnsi"/>
          <w:bCs/>
          <w:sz w:val="24"/>
          <w:szCs w:val="28"/>
          <w:lang w:val="ro-MD"/>
        </w:rPr>
        <w:t xml:space="preserve"> instituție cu 325,1 mii lei</w:t>
      </w:r>
      <w:r w:rsidRPr="00921938">
        <w:rPr>
          <w:rStyle w:val="FootnoteReference"/>
          <w:rFonts w:asciiTheme="majorHAnsi" w:hAnsiTheme="majorHAnsi" w:cstheme="majorHAnsi"/>
          <w:bCs/>
          <w:sz w:val="24"/>
          <w:szCs w:val="28"/>
          <w:lang w:val="ro-MD"/>
        </w:rPr>
        <w:footnoteReference w:id="56"/>
      </w:r>
      <w:r w:rsidRPr="00921938">
        <w:rPr>
          <w:rFonts w:asciiTheme="majorHAnsi" w:hAnsiTheme="majorHAnsi" w:cstheme="majorHAnsi"/>
          <w:bCs/>
          <w:sz w:val="24"/>
          <w:szCs w:val="28"/>
          <w:lang w:val="ro-MD"/>
        </w:rPr>
        <w:t xml:space="preserve"> mai puțin și </w:t>
      </w:r>
      <w:r w:rsidRPr="00921938">
        <w:rPr>
          <w:rFonts w:asciiTheme="majorHAnsi" w:hAnsiTheme="majorHAnsi" w:cstheme="majorHAnsi"/>
          <w:bCs/>
          <w:sz w:val="24"/>
          <w:szCs w:val="24"/>
          <w:lang w:val="ro-MD"/>
        </w:rPr>
        <w:t xml:space="preserve">la 2 instituții </w:t>
      </w:r>
      <w:r w:rsidR="00FC7B31">
        <w:rPr>
          <w:rFonts w:asciiTheme="majorHAnsi" w:hAnsiTheme="majorHAnsi" w:cstheme="majorHAnsi"/>
          <w:bCs/>
          <w:sz w:val="24"/>
          <w:szCs w:val="24"/>
          <w:lang w:val="ro-MD"/>
        </w:rPr>
        <w:t xml:space="preserve">– </w:t>
      </w:r>
      <w:r w:rsidRPr="00921938">
        <w:rPr>
          <w:rFonts w:asciiTheme="majorHAnsi" w:hAnsiTheme="majorHAnsi" w:cstheme="majorHAnsi"/>
          <w:bCs/>
          <w:sz w:val="24"/>
          <w:szCs w:val="24"/>
          <w:lang w:val="ro-MD"/>
        </w:rPr>
        <w:t>cu 1,4 mil. lei</w:t>
      </w:r>
      <w:r w:rsidRPr="00921938">
        <w:rPr>
          <w:rStyle w:val="FootnoteReference"/>
          <w:rFonts w:asciiTheme="majorHAnsi" w:hAnsiTheme="majorHAnsi" w:cstheme="majorHAnsi"/>
          <w:bCs/>
          <w:sz w:val="24"/>
          <w:szCs w:val="24"/>
          <w:lang w:val="ro-MD"/>
        </w:rPr>
        <w:footnoteReference w:id="57"/>
      </w:r>
      <w:r w:rsidRPr="00921938">
        <w:rPr>
          <w:rFonts w:asciiTheme="majorHAnsi" w:hAnsiTheme="majorHAnsi" w:cstheme="majorHAnsi"/>
          <w:bCs/>
          <w:sz w:val="24"/>
          <w:szCs w:val="24"/>
          <w:lang w:val="ro-MD"/>
        </w:rPr>
        <w:t xml:space="preserve"> mai mult. Alte instituții</w:t>
      </w:r>
      <w:r w:rsidRPr="00921938">
        <w:rPr>
          <w:rStyle w:val="FootnoteReference"/>
          <w:rFonts w:asciiTheme="majorHAnsi" w:hAnsiTheme="majorHAnsi" w:cstheme="majorHAnsi"/>
          <w:bCs/>
          <w:sz w:val="24"/>
          <w:szCs w:val="24"/>
          <w:lang w:val="ro-MD"/>
        </w:rPr>
        <w:footnoteReference w:id="58"/>
      </w:r>
      <w:r w:rsidRPr="00921938">
        <w:rPr>
          <w:rFonts w:asciiTheme="majorHAnsi" w:hAnsiTheme="majorHAnsi" w:cstheme="majorHAnsi"/>
          <w:bCs/>
          <w:sz w:val="24"/>
          <w:szCs w:val="24"/>
          <w:lang w:val="ro-MD"/>
        </w:rPr>
        <w:t xml:space="preserve"> nu dispun de justificarea datelor înregistrate în evidență de 0,9 mil.lei</w:t>
      </w:r>
      <w:r w:rsidRPr="00921938">
        <w:rPr>
          <w:rFonts w:asciiTheme="majorHAnsi" w:hAnsiTheme="majorHAnsi" w:cstheme="majorHAnsi"/>
          <w:bCs/>
          <w:sz w:val="24"/>
          <w:szCs w:val="28"/>
          <w:lang w:val="ro-MD"/>
        </w:rPr>
        <w:t>.</w:t>
      </w:r>
    </w:p>
    <w:p w14:paraId="0DEC2279" w14:textId="71B3C2AA" w:rsidR="00BA0585" w:rsidRPr="00921938" w:rsidRDefault="00B06123" w:rsidP="00325F1F">
      <w:pPr>
        <w:spacing w:after="0" w:line="276" w:lineRule="auto"/>
        <w:jc w:val="both"/>
        <w:rPr>
          <w:rFonts w:asciiTheme="majorHAnsi" w:hAnsiTheme="majorHAnsi"/>
          <w:sz w:val="24"/>
          <w:szCs w:val="24"/>
          <w:lang w:val="ro-MD"/>
        </w:rPr>
      </w:pPr>
      <w:r w:rsidRPr="00921938">
        <w:rPr>
          <w:rFonts w:asciiTheme="majorHAnsi" w:eastAsia="Times New Roman" w:hAnsiTheme="majorHAnsi" w:cstheme="majorHAnsi"/>
          <w:b/>
          <w:bCs/>
          <w:sz w:val="24"/>
          <w:szCs w:val="24"/>
          <w:lang w:val="ro-MD"/>
        </w:rPr>
        <w:t>5</w:t>
      </w:r>
      <w:r w:rsidR="00BA0585" w:rsidRPr="00921938">
        <w:rPr>
          <w:rFonts w:asciiTheme="majorHAnsi" w:eastAsia="Times New Roman" w:hAnsiTheme="majorHAnsi" w:cstheme="majorHAnsi"/>
          <w:b/>
          <w:bCs/>
          <w:sz w:val="24"/>
          <w:szCs w:val="24"/>
          <w:lang w:val="ro-MD"/>
        </w:rPr>
        <w:t>.</w:t>
      </w:r>
      <w:r w:rsidRPr="00921938">
        <w:rPr>
          <w:rFonts w:asciiTheme="majorHAnsi" w:eastAsia="Times New Roman" w:hAnsiTheme="majorHAnsi" w:cstheme="majorHAnsi"/>
          <w:b/>
          <w:bCs/>
          <w:sz w:val="24"/>
          <w:szCs w:val="24"/>
          <w:lang w:val="ro-MD"/>
        </w:rPr>
        <w:t>9</w:t>
      </w:r>
      <w:r w:rsidR="00BA0585" w:rsidRPr="00921938">
        <w:rPr>
          <w:rFonts w:asciiTheme="majorHAnsi" w:eastAsia="Times New Roman" w:hAnsiTheme="majorHAnsi" w:cstheme="majorHAnsi"/>
          <w:b/>
          <w:bCs/>
          <w:sz w:val="24"/>
          <w:szCs w:val="24"/>
          <w:lang w:val="ro-MD"/>
        </w:rPr>
        <w:t xml:space="preserve">. </w:t>
      </w:r>
      <w:r w:rsidR="00BA0585" w:rsidRPr="00921938">
        <w:rPr>
          <w:rFonts w:asciiTheme="majorHAnsi" w:hAnsiTheme="majorHAnsi" w:cstheme="majorHAnsi"/>
          <w:sz w:val="24"/>
          <w:szCs w:val="24"/>
          <w:shd w:val="clear" w:color="auto" w:fill="FFFFFF" w:themeFill="background1"/>
          <w:lang w:val="ro-MD"/>
        </w:rPr>
        <w:t>Instituțiile de învățămînt profesional tehnice nu sunt asigura</w:t>
      </w:r>
      <w:r w:rsidR="00FC7B31">
        <w:rPr>
          <w:rFonts w:asciiTheme="majorHAnsi" w:hAnsiTheme="majorHAnsi" w:cstheme="majorHAnsi"/>
          <w:sz w:val="24"/>
          <w:szCs w:val="24"/>
          <w:shd w:val="clear" w:color="auto" w:fill="FFFFFF" w:themeFill="background1"/>
          <w:lang w:val="ro-MD"/>
        </w:rPr>
        <w:t>te</w:t>
      </w:r>
      <w:r w:rsidR="00BA0585" w:rsidRPr="00921938">
        <w:rPr>
          <w:rFonts w:asciiTheme="majorHAnsi" w:hAnsiTheme="majorHAnsi" w:cstheme="majorHAnsi"/>
          <w:sz w:val="24"/>
          <w:szCs w:val="24"/>
          <w:shd w:val="clear" w:color="auto" w:fill="FFFFFF" w:themeFill="background1"/>
          <w:lang w:val="ro-MD"/>
        </w:rPr>
        <w:t xml:space="preserve"> cu manuale la disciplinile de cultură generală</w:t>
      </w:r>
      <w:r w:rsidR="00BA0585" w:rsidRPr="00921938">
        <w:rPr>
          <w:rStyle w:val="FootnoteReference"/>
          <w:rFonts w:asciiTheme="majorHAnsi" w:hAnsiTheme="majorHAnsi" w:cstheme="majorHAnsi"/>
          <w:sz w:val="24"/>
          <w:szCs w:val="24"/>
          <w:shd w:val="clear" w:color="auto" w:fill="FFFFFF" w:themeFill="background1"/>
          <w:lang w:val="ro-MD"/>
        </w:rPr>
        <w:footnoteReference w:id="59"/>
      </w:r>
      <w:r w:rsidR="00BA0585" w:rsidRPr="00921938">
        <w:rPr>
          <w:rFonts w:asciiTheme="majorHAnsi" w:hAnsiTheme="majorHAnsi" w:cstheme="majorHAnsi"/>
          <w:sz w:val="24"/>
          <w:szCs w:val="24"/>
          <w:shd w:val="clear" w:color="auto" w:fill="FFFFFF" w:themeFill="background1"/>
          <w:lang w:val="ro-MD"/>
        </w:rPr>
        <w:t xml:space="preserve">. De exemplu, la </w:t>
      </w:r>
      <w:r w:rsidR="00BA0585" w:rsidRPr="00921938">
        <w:rPr>
          <w:rFonts w:asciiTheme="majorHAnsi" w:eastAsia="Calibri" w:hAnsiTheme="majorHAnsi" w:cstheme="majorHAnsi"/>
          <w:sz w:val="24"/>
          <w:szCs w:val="24"/>
          <w:lang w:val="ro-MD"/>
        </w:rPr>
        <w:t xml:space="preserve">Colegiul de Industrie Ușoară din mun.Bălți, cu </w:t>
      </w:r>
      <w:r w:rsidR="00BA0585" w:rsidRPr="00921938">
        <w:rPr>
          <w:rFonts w:asciiTheme="majorHAnsi" w:hAnsiTheme="majorHAnsi" w:cstheme="majorHAnsi"/>
          <w:sz w:val="24"/>
          <w:szCs w:val="24"/>
          <w:shd w:val="clear" w:color="auto" w:fill="FFFFFF" w:themeFill="background1"/>
          <w:lang w:val="ro-MD"/>
        </w:rPr>
        <w:t>manualele existente în bibliotecă (2088 manuale) pot fi asigurați doar 40% din elevi (157 din 393 de elevi)</w:t>
      </w:r>
      <w:r w:rsidR="00BA0585" w:rsidRPr="00921938">
        <w:rPr>
          <w:rStyle w:val="FootnoteReference"/>
          <w:rFonts w:asciiTheme="majorHAnsi" w:hAnsiTheme="majorHAnsi" w:cstheme="majorHAnsi"/>
          <w:sz w:val="24"/>
          <w:szCs w:val="24"/>
          <w:shd w:val="clear" w:color="auto" w:fill="FFFFFF" w:themeFill="background1"/>
          <w:lang w:val="ro-MD"/>
        </w:rPr>
        <w:footnoteReference w:id="60"/>
      </w:r>
      <w:r w:rsidR="00BA0585" w:rsidRPr="00921938">
        <w:rPr>
          <w:rFonts w:asciiTheme="majorHAnsi" w:hAnsiTheme="majorHAnsi" w:cstheme="majorHAnsi"/>
          <w:sz w:val="24"/>
          <w:szCs w:val="24"/>
          <w:shd w:val="clear" w:color="auto" w:fill="FFFFFF" w:themeFill="background1"/>
          <w:lang w:val="ro-MD"/>
        </w:rPr>
        <w:t>.</w:t>
      </w:r>
    </w:p>
    <w:p w14:paraId="7B5B2283" w14:textId="6CE2EE00" w:rsidR="008C5241" w:rsidRPr="00921938" w:rsidRDefault="00B06123" w:rsidP="00325F1F">
      <w:pPr>
        <w:tabs>
          <w:tab w:val="left" w:pos="284"/>
        </w:tabs>
        <w:spacing w:after="0" w:line="276" w:lineRule="auto"/>
        <w:ind w:right="-64"/>
        <w:jc w:val="both"/>
        <w:rPr>
          <w:rFonts w:asciiTheme="majorHAnsi" w:eastAsia="Times New Roman" w:hAnsiTheme="majorHAnsi" w:cstheme="majorHAnsi"/>
          <w:b/>
          <w:bCs/>
          <w:sz w:val="24"/>
          <w:szCs w:val="24"/>
          <w:lang w:val="ro-MD"/>
        </w:rPr>
      </w:pPr>
      <w:r w:rsidRPr="00921938">
        <w:rPr>
          <w:rFonts w:asciiTheme="majorHAnsi" w:eastAsia="Times New Roman" w:hAnsiTheme="majorHAnsi" w:cstheme="majorHAnsi"/>
          <w:b/>
          <w:bCs/>
          <w:sz w:val="24"/>
          <w:szCs w:val="24"/>
          <w:lang w:val="ro-MD"/>
        </w:rPr>
        <w:t>5</w:t>
      </w:r>
      <w:r w:rsidR="008C5241" w:rsidRPr="00921938">
        <w:rPr>
          <w:rFonts w:asciiTheme="majorHAnsi" w:eastAsia="Times New Roman" w:hAnsiTheme="majorHAnsi" w:cstheme="majorHAnsi"/>
          <w:b/>
          <w:bCs/>
          <w:sz w:val="24"/>
          <w:szCs w:val="24"/>
          <w:lang w:val="ro-MD"/>
        </w:rPr>
        <w:t>.</w:t>
      </w:r>
      <w:r w:rsidRPr="00921938">
        <w:rPr>
          <w:rFonts w:asciiTheme="majorHAnsi" w:eastAsia="Times New Roman" w:hAnsiTheme="majorHAnsi" w:cstheme="majorHAnsi"/>
          <w:b/>
          <w:bCs/>
          <w:sz w:val="24"/>
          <w:szCs w:val="24"/>
          <w:lang w:val="ro-MD"/>
        </w:rPr>
        <w:t>10</w:t>
      </w:r>
      <w:r w:rsidR="008C5241" w:rsidRPr="00921938">
        <w:rPr>
          <w:rFonts w:asciiTheme="majorHAnsi" w:eastAsia="Times New Roman" w:hAnsiTheme="majorHAnsi" w:cstheme="majorHAnsi"/>
          <w:b/>
          <w:bCs/>
          <w:sz w:val="24"/>
          <w:szCs w:val="24"/>
          <w:lang w:val="ro-MD"/>
        </w:rPr>
        <w:t xml:space="preserve">. </w:t>
      </w:r>
      <w:r w:rsidR="008C5241" w:rsidRPr="00921938">
        <w:rPr>
          <w:rFonts w:asciiTheme="majorHAnsi" w:eastAsia="Calibri" w:hAnsiTheme="majorHAnsi" w:cstheme="majorHAnsi"/>
          <w:sz w:val="24"/>
          <w:szCs w:val="24"/>
          <w:lang w:val="ro-MD"/>
        </w:rPr>
        <w:t>Planificarea cheltuielilor pentru alimentarea gratuită a elevilor din unităţile de învățământ profesional tehnic secundar</w:t>
      </w:r>
      <w:r w:rsidR="008C5241" w:rsidRPr="00921938">
        <w:rPr>
          <w:rFonts w:asciiTheme="majorHAnsi" w:eastAsia="Calibri" w:hAnsiTheme="majorHAnsi" w:cstheme="majorHAnsi"/>
          <w:sz w:val="24"/>
          <w:szCs w:val="24"/>
          <w:vertAlign w:val="superscript"/>
          <w:lang w:val="ro-MD"/>
        </w:rPr>
        <w:footnoteReference w:id="61"/>
      </w:r>
      <w:r w:rsidR="008C5241" w:rsidRPr="00921938">
        <w:rPr>
          <w:rFonts w:asciiTheme="majorHAnsi" w:eastAsia="Calibri" w:hAnsiTheme="majorHAnsi" w:cstheme="majorHAnsi"/>
          <w:sz w:val="24"/>
          <w:szCs w:val="24"/>
          <w:lang w:val="ro-MD"/>
        </w:rPr>
        <w:t xml:space="preserve"> s-a efectuat neconform și neuniform. Astfel</w:t>
      </w:r>
      <w:r w:rsidR="00FC7B31">
        <w:rPr>
          <w:rFonts w:asciiTheme="majorHAnsi" w:eastAsia="Calibri" w:hAnsiTheme="majorHAnsi" w:cstheme="majorHAnsi"/>
          <w:sz w:val="24"/>
          <w:szCs w:val="24"/>
          <w:lang w:val="ro-MD"/>
        </w:rPr>
        <w:t>,</w:t>
      </w:r>
      <w:r w:rsidR="008C5241" w:rsidRPr="00921938">
        <w:rPr>
          <w:rFonts w:asciiTheme="majorHAnsi" w:eastAsia="Calibri" w:hAnsiTheme="majorHAnsi" w:cstheme="majorHAnsi"/>
          <w:sz w:val="24"/>
          <w:szCs w:val="24"/>
          <w:lang w:val="ro-MD"/>
        </w:rPr>
        <w:t xml:space="preserve"> dacă pentru 11 instituții s-au planificat și </w:t>
      </w:r>
      <w:r w:rsidR="001126F0">
        <w:rPr>
          <w:rFonts w:asciiTheme="majorHAnsi" w:eastAsia="Calibri" w:hAnsiTheme="majorHAnsi" w:cstheme="majorHAnsi"/>
          <w:sz w:val="24"/>
          <w:szCs w:val="24"/>
          <w:lang w:val="ro-MD"/>
        </w:rPr>
        <w:t xml:space="preserve">s-au </w:t>
      </w:r>
      <w:r w:rsidR="008C5241" w:rsidRPr="00921938">
        <w:rPr>
          <w:rFonts w:asciiTheme="majorHAnsi" w:eastAsia="Calibri" w:hAnsiTheme="majorHAnsi" w:cstheme="majorHAnsi"/>
          <w:sz w:val="24"/>
          <w:szCs w:val="24"/>
          <w:lang w:val="ro-MD"/>
        </w:rPr>
        <w:t xml:space="preserve">alocat mijloace doar pentru alimentație, atunci pentru 36 </w:t>
      </w:r>
      <w:r w:rsidR="001126F0">
        <w:rPr>
          <w:rFonts w:asciiTheme="majorHAnsi" w:eastAsia="Calibri" w:hAnsiTheme="majorHAnsi" w:cstheme="majorHAnsi"/>
          <w:sz w:val="24"/>
          <w:szCs w:val="24"/>
          <w:lang w:val="ro-MD"/>
        </w:rPr>
        <w:t xml:space="preserve">de </w:t>
      </w:r>
      <w:r w:rsidR="008C5241" w:rsidRPr="00921938">
        <w:rPr>
          <w:rFonts w:asciiTheme="majorHAnsi" w:eastAsia="Calibri" w:hAnsiTheme="majorHAnsi" w:cstheme="majorHAnsi"/>
          <w:sz w:val="24"/>
          <w:szCs w:val="24"/>
          <w:lang w:val="ro-MD"/>
        </w:rPr>
        <w:t xml:space="preserve">instituții s-au </w:t>
      </w:r>
      <w:r w:rsidR="008C5241" w:rsidRPr="00921938">
        <w:rPr>
          <w:rFonts w:asciiTheme="majorHAnsi" w:eastAsia="Calibri" w:hAnsiTheme="majorHAnsi" w:cstheme="majorHAnsi"/>
          <w:sz w:val="24"/>
          <w:szCs w:val="24"/>
          <w:lang w:val="ro-MD"/>
        </w:rPr>
        <w:lastRenderedPageBreak/>
        <w:t xml:space="preserve">planificat și </w:t>
      </w:r>
      <w:r w:rsidR="001126F0">
        <w:rPr>
          <w:rFonts w:asciiTheme="majorHAnsi" w:eastAsia="Calibri" w:hAnsiTheme="majorHAnsi" w:cstheme="majorHAnsi"/>
          <w:sz w:val="24"/>
          <w:szCs w:val="24"/>
          <w:lang w:val="ro-MD"/>
        </w:rPr>
        <w:t xml:space="preserve">s-au </w:t>
      </w:r>
      <w:r w:rsidR="008C5241" w:rsidRPr="00921938">
        <w:rPr>
          <w:rFonts w:asciiTheme="majorHAnsi" w:eastAsia="Calibri" w:hAnsiTheme="majorHAnsi" w:cstheme="majorHAnsi"/>
          <w:sz w:val="24"/>
          <w:szCs w:val="24"/>
          <w:lang w:val="ro-MD"/>
        </w:rPr>
        <w:t>alocat suplimentar mijloace financiare pentru întreținerea cantinelor</w:t>
      </w:r>
      <w:r w:rsidR="001126F0">
        <w:rPr>
          <w:rFonts w:asciiTheme="majorHAnsi" w:eastAsia="Calibri" w:hAnsiTheme="majorHAnsi" w:cstheme="majorHAnsi"/>
          <w:sz w:val="24"/>
          <w:szCs w:val="24"/>
          <w:lang w:val="ro-MD"/>
        </w:rPr>
        <w:t>,</w:t>
      </w:r>
      <w:r w:rsidR="008C5241" w:rsidRPr="00921938">
        <w:rPr>
          <w:rFonts w:asciiTheme="majorHAnsi" w:eastAsia="Calibri" w:hAnsiTheme="majorHAnsi" w:cstheme="majorHAnsi"/>
          <w:sz w:val="24"/>
          <w:szCs w:val="24"/>
          <w:lang w:val="ro-MD"/>
        </w:rPr>
        <w:t xml:space="preserve"> </w:t>
      </w:r>
      <w:r w:rsidR="008C5241" w:rsidRPr="00921938">
        <w:rPr>
          <w:rFonts w:asciiTheme="majorHAnsi" w:hAnsiTheme="majorHAnsi" w:cstheme="majorHAnsi"/>
          <w:iCs/>
          <w:sz w:val="24"/>
          <w:szCs w:val="24"/>
          <w:lang w:val="ro-MD"/>
        </w:rPr>
        <w:t>fapt ce a condus la supraevaluarea cheltuielilor în sumă totală de 14,38 mil.lei.</w:t>
      </w:r>
    </w:p>
    <w:p w14:paraId="7247FC8A" w14:textId="28819BA8" w:rsidR="008C5241" w:rsidRPr="00921938" w:rsidRDefault="008C5241" w:rsidP="00325F1F">
      <w:pPr>
        <w:tabs>
          <w:tab w:val="left" w:pos="284"/>
        </w:tabs>
        <w:spacing w:after="0" w:line="276" w:lineRule="auto"/>
        <w:ind w:right="-64"/>
        <w:jc w:val="both"/>
        <w:rPr>
          <w:rFonts w:asciiTheme="majorHAnsi" w:hAnsiTheme="majorHAnsi" w:cstheme="majorHAnsi"/>
          <w:iCs/>
          <w:sz w:val="24"/>
          <w:szCs w:val="24"/>
          <w:lang w:val="ro-MD"/>
        </w:rPr>
      </w:pPr>
      <w:r w:rsidRPr="00921938">
        <w:rPr>
          <w:rFonts w:asciiTheme="majorHAnsi" w:eastAsia="Calibri" w:hAnsiTheme="majorHAnsi" w:cstheme="majorHAnsi"/>
          <w:sz w:val="24"/>
          <w:szCs w:val="24"/>
          <w:lang w:val="ro-MD"/>
        </w:rPr>
        <w:t>În anul 2019</w:t>
      </w:r>
      <w:r w:rsidR="001126F0">
        <w:rPr>
          <w:rFonts w:asciiTheme="majorHAnsi" w:eastAsia="Calibri" w:hAnsiTheme="majorHAnsi" w:cstheme="majorHAnsi"/>
          <w:sz w:val="24"/>
          <w:szCs w:val="24"/>
          <w:lang w:val="ro-MD"/>
        </w:rPr>
        <w:t>,</w:t>
      </w:r>
      <w:r w:rsidRPr="00921938">
        <w:rPr>
          <w:rFonts w:asciiTheme="majorHAnsi" w:eastAsia="Calibri" w:hAnsiTheme="majorHAnsi" w:cstheme="majorHAnsi"/>
          <w:sz w:val="24"/>
          <w:szCs w:val="24"/>
          <w:lang w:val="ro-MD"/>
        </w:rPr>
        <w:t xml:space="preserve"> în timp ce cheltuielile aferente produselor alimentare s-au diminuat cu 6,02 mil.lei (de la 27,37 mil.lei la 21,34 mil.lei) din cauza micșorăii cu 501,8 mii a numărului de porții, cheltuielile pentru întreținerea cantinelor s-au majorat cu suma de 3,88 mil.lei (de la 10,54 mil.lei p</w:t>
      </w:r>
      <w:r w:rsidR="001126F0">
        <w:rPr>
          <w:rFonts w:asciiTheme="majorHAnsi" w:eastAsia="Calibri" w:hAnsiTheme="majorHAnsi" w:cstheme="majorHAnsi"/>
          <w:sz w:val="24"/>
          <w:szCs w:val="24"/>
          <w:lang w:val="ro-MD"/>
        </w:rPr>
        <w:t>â</w:t>
      </w:r>
      <w:r w:rsidRPr="00921938">
        <w:rPr>
          <w:rFonts w:asciiTheme="majorHAnsi" w:eastAsia="Calibri" w:hAnsiTheme="majorHAnsi" w:cstheme="majorHAnsi"/>
          <w:sz w:val="24"/>
          <w:szCs w:val="24"/>
          <w:lang w:val="ro-MD"/>
        </w:rPr>
        <w:t xml:space="preserve">nă la </w:t>
      </w:r>
      <w:r w:rsidRPr="00921938">
        <w:rPr>
          <w:rFonts w:asciiTheme="majorHAnsi" w:eastAsia="Calibri" w:hAnsiTheme="majorHAnsi" w:cstheme="majorHAnsi"/>
          <w:bCs/>
          <w:sz w:val="24"/>
          <w:szCs w:val="24"/>
          <w:lang w:val="ro-MD"/>
        </w:rPr>
        <w:t>14,38 mil.lei).</w:t>
      </w:r>
      <w:r w:rsidRPr="00921938">
        <w:rPr>
          <w:rFonts w:asciiTheme="majorHAnsi" w:eastAsia="Calibri" w:hAnsiTheme="majorHAnsi" w:cstheme="majorHAnsi"/>
          <w:sz w:val="24"/>
          <w:szCs w:val="24"/>
          <w:lang w:val="ro-MD"/>
        </w:rPr>
        <w:t xml:space="preserve"> </w:t>
      </w:r>
    </w:p>
    <w:p w14:paraId="0EFB543F" w14:textId="1C97593A" w:rsidR="00771CC4" w:rsidRPr="00921938" w:rsidRDefault="00B06123" w:rsidP="00325F1F">
      <w:pPr>
        <w:spacing w:after="0" w:line="276" w:lineRule="auto"/>
        <w:jc w:val="both"/>
        <w:rPr>
          <w:rFonts w:asciiTheme="majorHAnsi" w:eastAsia="Calibri" w:hAnsiTheme="majorHAnsi" w:cstheme="majorHAnsi"/>
          <w:sz w:val="24"/>
          <w:szCs w:val="24"/>
          <w:lang w:val="ro-MD"/>
        </w:rPr>
      </w:pPr>
      <w:r w:rsidRPr="00921938">
        <w:rPr>
          <w:rFonts w:asciiTheme="majorHAnsi" w:hAnsiTheme="majorHAnsi" w:cstheme="majorHAnsi"/>
          <w:b/>
          <w:bCs/>
          <w:sz w:val="24"/>
          <w:szCs w:val="24"/>
          <w:lang w:val="ro-MD"/>
        </w:rPr>
        <w:t>5</w:t>
      </w:r>
      <w:r w:rsidR="00771CC4" w:rsidRPr="00921938">
        <w:rPr>
          <w:rFonts w:asciiTheme="majorHAnsi" w:hAnsiTheme="majorHAnsi" w:cstheme="majorHAnsi"/>
          <w:b/>
          <w:bCs/>
          <w:sz w:val="24"/>
          <w:szCs w:val="24"/>
          <w:lang w:val="ro-MD"/>
        </w:rPr>
        <w:t>.</w:t>
      </w:r>
      <w:r w:rsidR="00BA0585" w:rsidRPr="00921938">
        <w:rPr>
          <w:rFonts w:asciiTheme="majorHAnsi" w:hAnsiTheme="majorHAnsi" w:cstheme="majorHAnsi"/>
          <w:b/>
          <w:bCs/>
          <w:sz w:val="24"/>
          <w:szCs w:val="24"/>
          <w:lang w:val="ro-MD"/>
        </w:rPr>
        <w:t>1</w:t>
      </w:r>
      <w:r w:rsidRPr="00921938">
        <w:rPr>
          <w:rFonts w:asciiTheme="majorHAnsi" w:hAnsiTheme="majorHAnsi" w:cstheme="majorHAnsi"/>
          <w:b/>
          <w:bCs/>
          <w:sz w:val="24"/>
          <w:szCs w:val="24"/>
          <w:lang w:val="ro-MD"/>
        </w:rPr>
        <w:t>1</w:t>
      </w:r>
      <w:r w:rsidR="00771CC4" w:rsidRPr="00921938">
        <w:rPr>
          <w:rFonts w:asciiTheme="majorHAnsi" w:hAnsiTheme="majorHAnsi" w:cstheme="majorHAnsi"/>
          <w:b/>
          <w:bCs/>
          <w:sz w:val="24"/>
          <w:szCs w:val="24"/>
          <w:lang w:val="ro-MD"/>
        </w:rPr>
        <w:t>.</w:t>
      </w:r>
      <w:r w:rsidR="00771CC4" w:rsidRPr="00921938">
        <w:rPr>
          <w:rFonts w:asciiTheme="majorHAnsi" w:hAnsiTheme="majorHAnsi" w:cstheme="majorHAnsi"/>
          <w:sz w:val="24"/>
          <w:szCs w:val="24"/>
          <w:lang w:val="ro-MD"/>
        </w:rPr>
        <w:t xml:space="preserve"> </w:t>
      </w:r>
      <w:r w:rsidR="001126F0">
        <w:rPr>
          <w:rFonts w:asciiTheme="majorHAnsi" w:eastAsia="Calibri" w:hAnsiTheme="majorHAnsi" w:cstheme="majorHAnsi"/>
          <w:sz w:val="24"/>
          <w:szCs w:val="24"/>
          <w:lang w:val="ro-MD"/>
        </w:rPr>
        <w:t>Pentru</w:t>
      </w:r>
      <w:r w:rsidR="00771CC4" w:rsidRPr="00921938">
        <w:rPr>
          <w:rFonts w:asciiTheme="majorHAnsi" w:eastAsia="Calibri" w:hAnsiTheme="majorHAnsi" w:cstheme="majorHAnsi"/>
          <w:sz w:val="24"/>
          <w:szCs w:val="24"/>
          <w:lang w:val="ro-MD"/>
        </w:rPr>
        <w:t xml:space="preserve"> alimentația elevilor din 3 instituții de învățământ subordonate MECC nu s-a asigurat respectarea normei financiare minime prevăzute de cadrul normativ</w:t>
      </w:r>
      <w:r w:rsidR="00771CC4" w:rsidRPr="00921938">
        <w:rPr>
          <w:rFonts w:asciiTheme="majorHAnsi" w:eastAsia="Calibri" w:hAnsiTheme="majorHAnsi" w:cstheme="majorHAnsi"/>
          <w:sz w:val="24"/>
          <w:szCs w:val="24"/>
          <w:vertAlign w:val="superscript"/>
          <w:lang w:val="ro-MD"/>
        </w:rPr>
        <w:footnoteReference w:id="62"/>
      </w:r>
      <w:r w:rsidR="00771CC4" w:rsidRPr="00921938">
        <w:rPr>
          <w:rFonts w:asciiTheme="majorHAnsi" w:eastAsia="Calibri" w:hAnsiTheme="majorHAnsi" w:cstheme="majorHAnsi"/>
          <w:sz w:val="24"/>
          <w:szCs w:val="24"/>
          <w:lang w:val="ro-MD"/>
        </w:rPr>
        <w:t xml:space="preserve">, fapt ce a condus la nevalorificarea mijloacelor financiare alocate din bugetul de stat în sumă totală de </w:t>
      </w:r>
      <w:r w:rsidR="00771CC4" w:rsidRPr="00921938">
        <w:rPr>
          <w:rFonts w:asciiTheme="majorHAnsi" w:eastAsia="Calibri" w:hAnsiTheme="majorHAnsi" w:cstheme="majorHAnsi"/>
          <w:bCs/>
          <w:sz w:val="24"/>
          <w:szCs w:val="24"/>
          <w:lang w:val="ro-MD"/>
        </w:rPr>
        <w:t>297,8 mii lei</w:t>
      </w:r>
      <w:r w:rsidR="00771CC4" w:rsidRPr="00921938">
        <w:rPr>
          <w:rStyle w:val="FootnoteReference"/>
          <w:rFonts w:asciiTheme="majorHAnsi" w:eastAsia="Calibri" w:hAnsiTheme="majorHAnsi" w:cstheme="majorHAnsi"/>
          <w:bCs/>
          <w:sz w:val="24"/>
          <w:szCs w:val="24"/>
          <w:lang w:val="ro-MD"/>
        </w:rPr>
        <w:footnoteReference w:id="63"/>
      </w:r>
      <w:r w:rsidR="00771CC4" w:rsidRPr="00921938">
        <w:rPr>
          <w:rFonts w:asciiTheme="majorHAnsi" w:eastAsia="Calibri" w:hAnsiTheme="majorHAnsi" w:cstheme="majorHAnsi"/>
          <w:bCs/>
          <w:sz w:val="24"/>
          <w:szCs w:val="24"/>
          <w:lang w:val="ro-MD"/>
        </w:rPr>
        <w:t>.</w:t>
      </w:r>
      <w:r w:rsidR="00771CC4" w:rsidRPr="00921938">
        <w:rPr>
          <w:rFonts w:asciiTheme="majorHAnsi" w:hAnsiTheme="majorHAnsi" w:cstheme="majorHAnsi"/>
          <w:bCs/>
          <w:sz w:val="24"/>
          <w:szCs w:val="24"/>
          <w:lang w:val="ro-MD"/>
        </w:rPr>
        <w:t xml:space="preserve"> </w:t>
      </w:r>
      <w:r w:rsidR="00771CC4" w:rsidRPr="00921938">
        <w:rPr>
          <w:rFonts w:asciiTheme="majorHAnsi" w:hAnsiTheme="majorHAnsi" w:cstheme="majorHAnsi"/>
          <w:sz w:val="24"/>
          <w:szCs w:val="24"/>
          <w:lang w:val="ro-MD"/>
        </w:rPr>
        <w:t xml:space="preserve">Mai mult </w:t>
      </w:r>
      <w:r w:rsidR="001126F0">
        <w:rPr>
          <w:rFonts w:asciiTheme="majorHAnsi" w:hAnsiTheme="majorHAnsi" w:cstheme="majorHAnsi"/>
          <w:sz w:val="24"/>
          <w:szCs w:val="24"/>
          <w:lang w:val="ro-MD"/>
        </w:rPr>
        <w:t xml:space="preserve">decât </w:t>
      </w:r>
      <w:r w:rsidR="00771CC4" w:rsidRPr="00921938">
        <w:rPr>
          <w:rFonts w:asciiTheme="majorHAnsi" w:hAnsiTheme="majorHAnsi" w:cstheme="majorHAnsi"/>
          <w:sz w:val="24"/>
          <w:szCs w:val="24"/>
          <w:lang w:val="ro-MD"/>
        </w:rPr>
        <w:t xml:space="preserve">atât, suma de 180,0 mii lei, rămasă neutilizată din componenta respectivă, a fost redirecționată </w:t>
      </w:r>
      <w:r w:rsidR="001126F0" w:rsidRPr="00921938">
        <w:rPr>
          <w:rFonts w:asciiTheme="majorHAnsi" w:hAnsiTheme="majorHAnsi" w:cstheme="majorHAnsi"/>
          <w:sz w:val="24"/>
          <w:szCs w:val="24"/>
          <w:lang w:val="ro-MD"/>
        </w:rPr>
        <w:t>de către Liceul</w:t>
      </w:r>
      <w:r w:rsidR="001126F0">
        <w:rPr>
          <w:rFonts w:asciiTheme="majorHAnsi" w:hAnsiTheme="majorHAnsi" w:cstheme="majorHAnsi"/>
          <w:sz w:val="24"/>
          <w:szCs w:val="24"/>
          <w:lang w:val="ro-MD"/>
        </w:rPr>
        <w:t>-</w:t>
      </w:r>
      <w:r w:rsidR="001126F0" w:rsidRPr="00921938">
        <w:rPr>
          <w:rFonts w:asciiTheme="majorHAnsi" w:hAnsiTheme="majorHAnsi" w:cstheme="majorHAnsi"/>
          <w:sz w:val="24"/>
          <w:szCs w:val="24"/>
          <w:lang w:val="ro-MD"/>
        </w:rPr>
        <w:t xml:space="preserve">internat republicat cu profil sportiv din mun.Chișinău </w:t>
      </w:r>
      <w:r w:rsidR="00771CC4" w:rsidRPr="00921938">
        <w:rPr>
          <w:rFonts w:asciiTheme="majorHAnsi" w:hAnsiTheme="majorHAnsi" w:cstheme="majorHAnsi"/>
          <w:sz w:val="24"/>
          <w:szCs w:val="24"/>
          <w:lang w:val="ro-MD"/>
        </w:rPr>
        <w:t>la alte componente de cheltuieli și procurări de mijloace fixe</w:t>
      </w:r>
      <w:r w:rsidR="00771CC4" w:rsidRPr="00921938">
        <w:rPr>
          <w:rStyle w:val="FootnoteReference"/>
          <w:rFonts w:asciiTheme="majorHAnsi" w:hAnsiTheme="majorHAnsi" w:cstheme="majorHAnsi"/>
          <w:sz w:val="24"/>
          <w:szCs w:val="24"/>
          <w:lang w:val="ro-MD"/>
        </w:rPr>
        <w:footnoteReference w:id="64"/>
      </w:r>
      <w:r w:rsidR="00771CC4" w:rsidRPr="00921938">
        <w:rPr>
          <w:rFonts w:asciiTheme="majorHAnsi" w:hAnsiTheme="majorHAnsi" w:cstheme="majorHAnsi"/>
          <w:sz w:val="24"/>
          <w:szCs w:val="24"/>
          <w:lang w:val="ro-MD"/>
        </w:rPr>
        <w:t xml:space="preserve">. </w:t>
      </w:r>
    </w:p>
    <w:p w14:paraId="2B83BCC1" w14:textId="5A034F8C" w:rsidR="004949B5" w:rsidRPr="00921938" w:rsidRDefault="00B06123"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b/>
          <w:bCs/>
          <w:sz w:val="24"/>
          <w:szCs w:val="24"/>
          <w:lang w:val="ro-MD"/>
        </w:rPr>
        <w:t>5</w:t>
      </w:r>
      <w:r w:rsidR="004949B5" w:rsidRPr="00921938">
        <w:rPr>
          <w:rFonts w:asciiTheme="majorHAnsi" w:hAnsiTheme="majorHAnsi" w:cstheme="majorHAnsi"/>
          <w:b/>
          <w:bCs/>
          <w:sz w:val="24"/>
          <w:szCs w:val="24"/>
          <w:lang w:val="ro-MD"/>
        </w:rPr>
        <w:t>.1</w:t>
      </w:r>
      <w:r w:rsidRPr="00921938">
        <w:rPr>
          <w:rFonts w:asciiTheme="majorHAnsi" w:hAnsiTheme="majorHAnsi" w:cstheme="majorHAnsi"/>
          <w:b/>
          <w:bCs/>
          <w:sz w:val="24"/>
          <w:szCs w:val="24"/>
          <w:lang w:val="ro-MD"/>
        </w:rPr>
        <w:t>2</w:t>
      </w:r>
      <w:r w:rsidR="004949B5" w:rsidRPr="00921938">
        <w:rPr>
          <w:rFonts w:asciiTheme="majorHAnsi" w:hAnsiTheme="majorHAnsi" w:cstheme="majorHAnsi"/>
          <w:b/>
          <w:bCs/>
          <w:sz w:val="24"/>
          <w:szCs w:val="24"/>
          <w:lang w:val="ro-MD"/>
        </w:rPr>
        <w:t>.</w:t>
      </w:r>
      <w:r w:rsidR="004949B5" w:rsidRPr="00921938">
        <w:rPr>
          <w:rFonts w:asciiTheme="majorHAnsi" w:eastAsia="Times New Roman" w:hAnsiTheme="majorHAnsi" w:cstheme="majorHAnsi"/>
          <w:i/>
          <w:sz w:val="24"/>
          <w:szCs w:val="24"/>
          <w:lang w:val="ro-MD"/>
        </w:rPr>
        <w:t xml:space="preserve"> </w:t>
      </w:r>
      <w:r w:rsidR="004949B5" w:rsidRPr="00921938">
        <w:rPr>
          <w:rFonts w:asciiTheme="majorHAnsi" w:eastAsia="Times New Roman" w:hAnsiTheme="majorHAnsi" w:cstheme="majorHAnsi"/>
          <w:iCs/>
          <w:sz w:val="24"/>
          <w:szCs w:val="24"/>
          <w:lang w:val="ro-MD"/>
        </w:rPr>
        <w:t xml:space="preserve">MECC nu a asigurat delimitarea și înregistrarea conformă a proprietății publice gestionate de entitățile din subordine. </w:t>
      </w:r>
      <w:r w:rsidR="004949B5" w:rsidRPr="00921938">
        <w:rPr>
          <w:rFonts w:asciiTheme="majorHAnsi" w:hAnsiTheme="majorHAnsi" w:cstheme="majorHAnsi"/>
          <w:sz w:val="24"/>
          <w:szCs w:val="24"/>
          <w:lang w:val="ro-MD"/>
        </w:rPr>
        <w:t>Auditul precedent</w:t>
      </w:r>
      <w:r w:rsidR="004949B5" w:rsidRPr="00921938">
        <w:rPr>
          <w:rStyle w:val="FootnoteReference"/>
          <w:rFonts w:asciiTheme="majorHAnsi" w:hAnsiTheme="majorHAnsi" w:cstheme="majorHAnsi"/>
          <w:sz w:val="24"/>
          <w:szCs w:val="24"/>
          <w:lang w:val="ro-MD"/>
        </w:rPr>
        <w:footnoteReference w:id="65"/>
      </w:r>
      <w:r w:rsidR="004949B5" w:rsidRPr="00921938">
        <w:rPr>
          <w:rFonts w:asciiTheme="majorHAnsi" w:hAnsiTheme="majorHAnsi" w:cstheme="majorHAnsi"/>
          <w:sz w:val="24"/>
          <w:szCs w:val="24"/>
          <w:lang w:val="ro-MD"/>
        </w:rPr>
        <w:t xml:space="preserve"> a menționat despre lipsa unor date exhaustive privind bunurile imobile proprietate publică a statului din gestiunea instituțiilor din cadrul MECC, situație condiționată de neactualizarea HG nr.351 din 23.03.2005</w:t>
      </w:r>
      <w:r w:rsidR="004949B5" w:rsidRPr="00921938">
        <w:rPr>
          <w:rStyle w:val="FootnoteReference"/>
          <w:rFonts w:asciiTheme="majorHAnsi" w:hAnsiTheme="majorHAnsi" w:cstheme="majorHAnsi"/>
          <w:sz w:val="24"/>
          <w:szCs w:val="24"/>
          <w:lang w:val="ro-MD"/>
        </w:rPr>
        <w:footnoteReference w:id="66"/>
      </w:r>
      <w:r w:rsidR="004949B5" w:rsidRPr="00921938">
        <w:rPr>
          <w:rFonts w:asciiTheme="majorHAnsi" w:hAnsiTheme="majorHAnsi" w:cstheme="majorHAnsi"/>
          <w:sz w:val="24"/>
          <w:szCs w:val="24"/>
          <w:lang w:val="ro-MD"/>
        </w:rPr>
        <w:t>. Doar 36 din 88 de instituții din subordine și 93 din 1</w:t>
      </w:r>
      <w:r w:rsidR="00CF6636" w:rsidRPr="00921938">
        <w:rPr>
          <w:rFonts w:asciiTheme="majorHAnsi" w:hAnsiTheme="majorHAnsi" w:cstheme="majorHAnsi"/>
          <w:sz w:val="24"/>
          <w:szCs w:val="24"/>
          <w:lang w:val="ro-MD"/>
        </w:rPr>
        <w:t>19</w:t>
      </w:r>
      <w:r w:rsidR="004949B5" w:rsidRPr="00921938">
        <w:rPr>
          <w:rFonts w:asciiTheme="majorHAnsi" w:hAnsiTheme="majorHAnsi" w:cstheme="majorHAnsi"/>
          <w:sz w:val="24"/>
          <w:szCs w:val="24"/>
          <w:lang w:val="ro-MD"/>
        </w:rPr>
        <w:t xml:space="preserve"> entități la care </w:t>
      </w:r>
      <w:r w:rsidR="004949B5" w:rsidRPr="00921938">
        <w:rPr>
          <w:rFonts w:asciiTheme="majorHAnsi" w:eastAsia="Times New Roman" w:hAnsiTheme="majorHAnsi" w:cstheme="majorHAnsi"/>
          <w:sz w:val="24"/>
          <w:szCs w:val="24"/>
          <w:lang w:val="ro-MD"/>
        </w:rPr>
        <w:t>MECC</w:t>
      </w:r>
      <w:r w:rsidR="004949B5" w:rsidRPr="00921938">
        <w:rPr>
          <w:rFonts w:asciiTheme="majorHAnsi" w:hAnsiTheme="majorHAnsi" w:cstheme="majorHAnsi"/>
          <w:sz w:val="24"/>
          <w:szCs w:val="24"/>
          <w:lang w:val="ro-MD"/>
        </w:rPr>
        <w:t xml:space="preserve"> este fondator se regăsesc în HG nr.351/2005, ceea ce denotă lipsa unei imagini fidele a situației reale a bunurilor proprietate a statului transmise în administrarea instituțiilor din cadrul </w:t>
      </w:r>
      <w:r w:rsidR="004949B5" w:rsidRPr="00921938">
        <w:rPr>
          <w:rFonts w:asciiTheme="majorHAnsi" w:eastAsia="Times New Roman" w:hAnsiTheme="majorHAnsi" w:cstheme="majorHAnsi"/>
          <w:sz w:val="24"/>
          <w:szCs w:val="24"/>
          <w:lang w:val="ro-MD"/>
        </w:rPr>
        <w:t>MECC</w:t>
      </w:r>
      <w:r w:rsidR="004949B5" w:rsidRPr="00921938">
        <w:rPr>
          <w:rFonts w:asciiTheme="majorHAnsi" w:hAnsiTheme="majorHAnsi" w:cstheme="majorHAnsi"/>
          <w:sz w:val="24"/>
          <w:szCs w:val="24"/>
          <w:lang w:val="ro-MD"/>
        </w:rPr>
        <w:t>.</w:t>
      </w:r>
    </w:p>
    <w:p w14:paraId="77ECF03B" w14:textId="3C603107" w:rsidR="004949B5" w:rsidRPr="00921938" w:rsidRDefault="004949B5" w:rsidP="00325F1F">
      <w:pPr>
        <w:spacing w:after="0" w:line="276" w:lineRule="auto"/>
        <w:jc w:val="both"/>
        <w:rPr>
          <w:rFonts w:asciiTheme="majorHAnsi" w:eastAsia="Times New Roman" w:hAnsiTheme="majorHAnsi" w:cstheme="majorHAnsi"/>
          <w:iCs/>
          <w:sz w:val="24"/>
          <w:szCs w:val="24"/>
          <w:lang w:val="ro-MD"/>
        </w:rPr>
      </w:pPr>
      <w:r w:rsidRPr="00921938">
        <w:rPr>
          <w:rFonts w:asciiTheme="majorHAnsi" w:eastAsia="Times New Roman" w:hAnsiTheme="majorHAnsi" w:cstheme="majorHAnsi"/>
          <w:iCs/>
          <w:sz w:val="24"/>
          <w:szCs w:val="24"/>
          <w:lang w:val="ro-MD"/>
        </w:rPr>
        <w:t>Astfel</w:t>
      </w:r>
      <w:r w:rsidR="001126F0">
        <w:rPr>
          <w:rFonts w:asciiTheme="majorHAnsi" w:eastAsia="Times New Roman" w:hAnsiTheme="majorHAnsi" w:cstheme="majorHAnsi"/>
          <w:iCs/>
          <w:sz w:val="24"/>
          <w:szCs w:val="24"/>
          <w:lang w:val="ro-MD"/>
        </w:rPr>
        <w:t>,</w:t>
      </w:r>
      <w:r w:rsidRPr="00921938">
        <w:rPr>
          <w:rFonts w:asciiTheme="majorHAnsi" w:eastAsia="Times New Roman" w:hAnsiTheme="majorHAnsi" w:cstheme="majorHAnsi"/>
          <w:iCs/>
          <w:sz w:val="24"/>
          <w:szCs w:val="24"/>
          <w:lang w:val="ro-MD"/>
        </w:rPr>
        <w:t xml:space="preserve"> 41</w:t>
      </w:r>
      <w:r w:rsidR="001126F0">
        <w:rPr>
          <w:rFonts w:asciiTheme="majorHAnsi" w:eastAsia="Times New Roman" w:hAnsiTheme="majorHAnsi" w:cstheme="majorHAnsi"/>
          <w:iCs/>
          <w:sz w:val="24"/>
          <w:szCs w:val="24"/>
          <w:lang w:val="ro-MD"/>
        </w:rPr>
        <w:t xml:space="preserve"> de</w:t>
      </w:r>
      <w:r w:rsidRPr="00921938">
        <w:rPr>
          <w:rFonts w:asciiTheme="majorHAnsi" w:eastAsia="Times New Roman" w:hAnsiTheme="majorHAnsi" w:cstheme="majorHAnsi"/>
          <w:iCs/>
          <w:sz w:val="24"/>
          <w:szCs w:val="24"/>
          <w:lang w:val="ro-MD"/>
        </w:rPr>
        <w:t xml:space="preserve"> terenuri de 52,1 ha cu valoare</w:t>
      </w:r>
      <w:r w:rsidR="001126F0">
        <w:rPr>
          <w:rFonts w:asciiTheme="majorHAnsi" w:eastAsia="Times New Roman" w:hAnsiTheme="majorHAnsi" w:cstheme="majorHAnsi"/>
          <w:iCs/>
          <w:sz w:val="24"/>
          <w:szCs w:val="24"/>
          <w:lang w:val="ro-MD"/>
        </w:rPr>
        <w:t>a</w:t>
      </w:r>
      <w:r w:rsidRPr="00921938">
        <w:rPr>
          <w:rFonts w:asciiTheme="majorHAnsi" w:eastAsia="Times New Roman" w:hAnsiTheme="majorHAnsi" w:cstheme="majorHAnsi"/>
          <w:iCs/>
          <w:sz w:val="24"/>
          <w:szCs w:val="24"/>
          <w:lang w:val="ro-MD"/>
        </w:rPr>
        <w:t xml:space="preserve"> de la 45,31 mil.lei p</w:t>
      </w:r>
      <w:r w:rsidR="001126F0">
        <w:rPr>
          <w:rFonts w:asciiTheme="majorHAnsi" w:eastAsia="Times New Roman" w:hAnsiTheme="majorHAnsi" w:cstheme="majorHAnsi"/>
          <w:iCs/>
          <w:sz w:val="24"/>
          <w:szCs w:val="24"/>
          <w:lang w:val="ro-MD"/>
        </w:rPr>
        <w:t>â</w:t>
      </w:r>
      <w:r w:rsidRPr="00921938">
        <w:rPr>
          <w:rFonts w:asciiTheme="majorHAnsi" w:eastAsia="Times New Roman" w:hAnsiTheme="majorHAnsi" w:cstheme="majorHAnsi"/>
          <w:iCs/>
          <w:sz w:val="24"/>
          <w:szCs w:val="24"/>
          <w:lang w:val="ro-MD"/>
        </w:rPr>
        <w:t>nă la 106,77 mil.lei și 5 clădiri cu valoare</w:t>
      </w:r>
      <w:r w:rsidR="001126F0">
        <w:rPr>
          <w:rFonts w:asciiTheme="majorHAnsi" w:eastAsia="Times New Roman" w:hAnsiTheme="majorHAnsi" w:cstheme="majorHAnsi"/>
          <w:iCs/>
          <w:sz w:val="24"/>
          <w:szCs w:val="24"/>
          <w:lang w:val="ro-MD"/>
        </w:rPr>
        <w:t>a</w:t>
      </w:r>
      <w:r w:rsidRPr="00921938">
        <w:rPr>
          <w:rFonts w:asciiTheme="majorHAnsi" w:eastAsia="Times New Roman" w:hAnsiTheme="majorHAnsi" w:cstheme="majorHAnsi"/>
          <w:iCs/>
          <w:sz w:val="24"/>
          <w:szCs w:val="24"/>
          <w:lang w:val="ro-MD"/>
        </w:rPr>
        <w:t xml:space="preserve"> de 4,66 mil.lei sunt înregistrate ca proprietate a APL. Totodată, 1</w:t>
      </w:r>
      <w:r w:rsidR="00284D17" w:rsidRPr="00921938">
        <w:rPr>
          <w:rFonts w:asciiTheme="majorHAnsi" w:eastAsia="Times New Roman" w:hAnsiTheme="majorHAnsi" w:cstheme="majorHAnsi"/>
          <w:iCs/>
          <w:sz w:val="24"/>
          <w:szCs w:val="24"/>
          <w:lang w:val="ro-MD"/>
        </w:rPr>
        <w:t>4</w:t>
      </w:r>
      <w:r w:rsidRPr="00921938">
        <w:rPr>
          <w:rFonts w:asciiTheme="majorHAnsi" w:eastAsia="Times New Roman" w:hAnsiTheme="majorHAnsi" w:cstheme="majorHAnsi"/>
          <w:iCs/>
          <w:sz w:val="24"/>
          <w:szCs w:val="24"/>
          <w:lang w:val="ro-MD"/>
        </w:rPr>
        <w:t xml:space="preserve"> terenuri de 73,7 ha cu valoare</w:t>
      </w:r>
      <w:r w:rsidR="001126F0">
        <w:rPr>
          <w:rFonts w:asciiTheme="majorHAnsi" w:eastAsia="Times New Roman" w:hAnsiTheme="majorHAnsi" w:cstheme="majorHAnsi"/>
          <w:iCs/>
          <w:sz w:val="24"/>
          <w:szCs w:val="24"/>
          <w:lang w:val="ro-MD"/>
        </w:rPr>
        <w:t>a</w:t>
      </w:r>
      <w:r w:rsidRPr="00921938">
        <w:rPr>
          <w:rFonts w:asciiTheme="majorHAnsi" w:eastAsia="Times New Roman" w:hAnsiTheme="majorHAnsi" w:cstheme="majorHAnsi"/>
          <w:iCs/>
          <w:sz w:val="24"/>
          <w:szCs w:val="24"/>
          <w:lang w:val="ro-MD"/>
        </w:rPr>
        <w:t xml:space="preserve"> de la 8,29 mil.lei p</w:t>
      </w:r>
      <w:r w:rsidR="001126F0">
        <w:rPr>
          <w:rFonts w:asciiTheme="majorHAnsi" w:eastAsia="Times New Roman" w:hAnsiTheme="majorHAnsi" w:cstheme="majorHAnsi"/>
          <w:iCs/>
          <w:sz w:val="24"/>
          <w:szCs w:val="24"/>
          <w:lang w:val="ro-MD"/>
        </w:rPr>
        <w:t>â</w:t>
      </w:r>
      <w:r w:rsidRPr="00921938">
        <w:rPr>
          <w:rFonts w:asciiTheme="majorHAnsi" w:eastAsia="Times New Roman" w:hAnsiTheme="majorHAnsi" w:cstheme="majorHAnsi"/>
          <w:iCs/>
          <w:sz w:val="24"/>
          <w:szCs w:val="24"/>
          <w:lang w:val="ro-MD"/>
        </w:rPr>
        <w:t>nă la 53,68 mil.lei și 387</w:t>
      </w:r>
      <w:r w:rsidR="001126F0">
        <w:rPr>
          <w:rFonts w:asciiTheme="majorHAnsi" w:eastAsia="Times New Roman" w:hAnsiTheme="majorHAnsi" w:cstheme="majorHAnsi"/>
          <w:iCs/>
          <w:sz w:val="24"/>
          <w:szCs w:val="24"/>
          <w:lang w:val="ro-MD"/>
        </w:rPr>
        <w:t xml:space="preserve"> de</w:t>
      </w:r>
      <w:r w:rsidRPr="00921938">
        <w:rPr>
          <w:rFonts w:asciiTheme="majorHAnsi" w:eastAsia="Times New Roman" w:hAnsiTheme="majorHAnsi" w:cstheme="majorHAnsi"/>
          <w:iCs/>
          <w:sz w:val="24"/>
          <w:szCs w:val="24"/>
          <w:lang w:val="ro-MD"/>
        </w:rPr>
        <w:t xml:space="preserve"> clădiri și construcții cu valoare</w:t>
      </w:r>
      <w:r w:rsidR="001126F0">
        <w:rPr>
          <w:rFonts w:asciiTheme="majorHAnsi" w:eastAsia="Times New Roman" w:hAnsiTheme="majorHAnsi" w:cstheme="majorHAnsi"/>
          <w:iCs/>
          <w:sz w:val="24"/>
          <w:szCs w:val="24"/>
          <w:lang w:val="ro-MD"/>
        </w:rPr>
        <w:t>a</w:t>
      </w:r>
      <w:r w:rsidRPr="00921938">
        <w:rPr>
          <w:rFonts w:asciiTheme="majorHAnsi" w:eastAsia="Times New Roman" w:hAnsiTheme="majorHAnsi" w:cstheme="majorHAnsi"/>
          <w:iCs/>
          <w:sz w:val="24"/>
          <w:szCs w:val="24"/>
          <w:lang w:val="ro-MD"/>
        </w:rPr>
        <w:t xml:space="preserve"> de cel puțin 989,35 mil.lei nu au înregistrate drepturile de proprietate în Registrul </w:t>
      </w:r>
      <w:r w:rsidR="001126F0">
        <w:rPr>
          <w:rFonts w:asciiTheme="majorHAnsi" w:eastAsia="Times New Roman" w:hAnsiTheme="majorHAnsi" w:cstheme="majorHAnsi"/>
          <w:iCs/>
          <w:sz w:val="24"/>
          <w:szCs w:val="24"/>
          <w:lang w:val="ro-MD"/>
        </w:rPr>
        <w:t>b</w:t>
      </w:r>
      <w:r w:rsidRPr="00921938">
        <w:rPr>
          <w:rFonts w:asciiTheme="majorHAnsi" w:eastAsia="Times New Roman" w:hAnsiTheme="majorHAnsi" w:cstheme="majorHAnsi"/>
          <w:iCs/>
          <w:sz w:val="24"/>
          <w:szCs w:val="24"/>
          <w:lang w:val="ro-MD"/>
        </w:rPr>
        <w:t xml:space="preserve">unurilor imobile. </w:t>
      </w:r>
    </w:p>
    <w:p w14:paraId="57C90982" w14:textId="5E967302" w:rsidR="004949B5" w:rsidRPr="00921938" w:rsidRDefault="004949B5" w:rsidP="00325F1F">
      <w:pPr>
        <w:tabs>
          <w:tab w:val="left" w:pos="0"/>
        </w:tabs>
        <w:spacing w:after="0" w:line="276" w:lineRule="auto"/>
        <w:contextualSpacing/>
        <w:jc w:val="both"/>
        <w:rPr>
          <w:rFonts w:asciiTheme="majorHAnsi" w:eastAsia="Times New Roman" w:hAnsiTheme="majorHAnsi" w:cstheme="majorHAnsi"/>
          <w:sz w:val="24"/>
          <w:szCs w:val="24"/>
          <w:lang w:val="ro-MD"/>
        </w:rPr>
      </w:pPr>
      <w:r w:rsidRPr="00921938">
        <w:rPr>
          <w:rFonts w:asciiTheme="majorHAnsi" w:hAnsiTheme="majorHAnsi" w:cstheme="majorHAnsi"/>
          <w:i/>
          <w:sz w:val="24"/>
          <w:szCs w:val="24"/>
          <w:lang w:val="ro-MD"/>
        </w:rPr>
        <w:t>Nesoluționarea în termen oportun a problemelor în cauză determină riscul de prejudiciere a patrimoniului public și</w:t>
      </w:r>
      <w:r w:rsidR="00591EEB">
        <w:rPr>
          <w:rFonts w:asciiTheme="majorHAnsi" w:hAnsiTheme="majorHAnsi" w:cstheme="majorHAnsi"/>
          <w:i/>
          <w:sz w:val="24"/>
          <w:szCs w:val="24"/>
          <w:lang w:val="ro-MD"/>
        </w:rPr>
        <w:t xml:space="preserve"> a</w:t>
      </w:r>
      <w:r w:rsidRPr="00921938">
        <w:rPr>
          <w:rFonts w:asciiTheme="majorHAnsi" w:hAnsiTheme="majorHAnsi" w:cstheme="majorHAnsi"/>
          <w:i/>
          <w:sz w:val="24"/>
          <w:szCs w:val="24"/>
          <w:lang w:val="ro-MD"/>
        </w:rPr>
        <w:t xml:space="preserve"> venit</w:t>
      </w:r>
      <w:r w:rsidR="00591EEB">
        <w:rPr>
          <w:rFonts w:asciiTheme="majorHAnsi" w:hAnsiTheme="majorHAnsi" w:cstheme="majorHAnsi"/>
          <w:i/>
          <w:sz w:val="24"/>
          <w:szCs w:val="24"/>
          <w:lang w:val="ro-MD"/>
        </w:rPr>
        <w:t>u</w:t>
      </w:r>
      <w:r w:rsidRPr="00921938">
        <w:rPr>
          <w:rFonts w:asciiTheme="majorHAnsi" w:hAnsiTheme="majorHAnsi" w:cstheme="majorHAnsi"/>
          <w:i/>
          <w:sz w:val="24"/>
          <w:szCs w:val="24"/>
          <w:lang w:val="ro-MD"/>
        </w:rPr>
        <w:t>rilor bugetare.</w:t>
      </w:r>
      <w:r w:rsidRPr="00921938">
        <w:rPr>
          <w:rFonts w:asciiTheme="majorHAnsi" w:hAnsiTheme="majorHAnsi" w:cstheme="majorHAnsi"/>
          <w:sz w:val="24"/>
          <w:szCs w:val="24"/>
          <w:lang w:val="ro-MD"/>
        </w:rPr>
        <w:t xml:space="preserve"> Astfel, p</w:t>
      </w:r>
      <w:r w:rsidR="00591EEB">
        <w:rPr>
          <w:rFonts w:asciiTheme="majorHAnsi" w:hAnsiTheme="majorHAnsi" w:cstheme="majorHAnsi"/>
          <w:sz w:val="24"/>
          <w:szCs w:val="24"/>
          <w:lang w:val="ro-MD"/>
        </w:rPr>
        <w:t>â</w:t>
      </w:r>
      <w:r w:rsidRPr="00921938">
        <w:rPr>
          <w:rFonts w:asciiTheme="majorHAnsi" w:hAnsiTheme="majorHAnsi" w:cstheme="majorHAnsi"/>
          <w:sz w:val="24"/>
          <w:szCs w:val="24"/>
          <w:lang w:val="ro-MD"/>
        </w:rPr>
        <w:t>nă în prezent nu este soluționat litigiul privind ocuparea în anul 2006, în lipsa contractului de locațiune, în baza unor documente de proprietate declarate de organele de drept ca falsificate, a 693 m</w:t>
      </w:r>
      <w:r w:rsidRPr="00921938">
        <w:rPr>
          <w:rFonts w:asciiTheme="majorHAnsi" w:hAnsiTheme="majorHAnsi" w:cstheme="majorHAnsi"/>
          <w:sz w:val="24"/>
          <w:szCs w:val="24"/>
          <w:vertAlign w:val="superscript"/>
          <w:lang w:val="ro-MD"/>
        </w:rPr>
        <w:t>2</w:t>
      </w:r>
      <w:r w:rsidRPr="00921938">
        <w:rPr>
          <w:rFonts w:asciiTheme="majorHAnsi" w:hAnsiTheme="majorHAnsi" w:cstheme="majorHAnsi"/>
          <w:sz w:val="24"/>
          <w:szCs w:val="24"/>
          <w:lang w:val="ro-MD"/>
        </w:rPr>
        <w:t xml:space="preserve"> din demisolul blocului administrativ cu valoare cadastrală de 1,35 mil.lei, aflate în gestiunea </w:t>
      </w:r>
      <w:r w:rsidRPr="00921938">
        <w:rPr>
          <w:rFonts w:asciiTheme="majorHAnsi" w:eastAsia="Calibri" w:hAnsiTheme="majorHAnsi" w:cstheme="majorHAnsi"/>
          <w:sz w:val="24"/>
          <w:szCs w:val="24"/>
          <w:lang w:val="ro-MD"/>
        </w:rPr>
        <w:t xml:space="preserve">Institutului Național </w:t>
      </w:r>
      <w:r w:rsidR="00591EEB">
        <w:rPr>
          <w:rFonts w:asciiTheme="majorHAnsi" w:eastAsia="Calibri" w:hAnsiTheme="majorHAnsi" w:cstheme="majorHAnsi"/>
          <w:sz w:val="24"/>
          <w:szCs w:val="24"/>
          <w:lang w:val="ro-MD"/>
        </w:rPr>
        <w:t xml:space="preserve">de </w:t>
      </w:r>
      <w:r w:rsidRPr="00921938">
        <w:rPr>
          <w:rFonts w:asciiTheme="majorHAnsi" w:eastAsia="Calibri" w:hAnsiTheme="majorHAnsi" w:cstheme="majorHAnsi"/>
          <w:sz w:val="24"/>
          <w:szCs w:val="24"/>
          <w:lang w:val="ro-MD"/>
        </w:rPr>
        <w:t>Cercetări Economice</w:t>
      </w:r>
      <w:r w:rsidRPr="00921938">
        <w:rPr>
          <w:rFonts w:asciiTheme="majorHAnsi" w:hAnsiTheme="majorHAnsi" w:cstheme="majorHAnsi"/>
          <w:sz w:val="24"/>
          <w:szCs w:val="24"/>
          <w:lang w:val="ro-MD"/>
        </w:rPr>
        <w:t>. Astfel, doar în anul 2019, din locațiunea acestor spații</w:t>
      </w:r>
      <w:r w:rsidR="00591EEB">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w:t>
      </w:r>
      <w:r w:rsidRPr="00921938">
        <w:rPr>
          <w:rFonts w:asciiTheme="majorHAnsi" w:eastAsia="Calibri" w:hAnsiTheme="majorHAnsi" w:cstheme="majorHAnsi"/>
          <w:sz w:val="24"/>
          <w:szCs w:val="24"/>
          <w:lang w:val="ro-MD"/>
        </w:rPr>
        <w:t>INCE</w:t>
      </w:r>
      <w:r w:rsidRPr="00921938">
        <w:rPr>
          <w:rFonts w:asciiTheme="majorHAnsi" w:hAnsiTheme="majorHAnsi" w:cstheme="majorHAnsi"/>
          <w:sz w:val="24"/>
          <w:szCs w:val="24"/>
          <w:lang w:val="ro-MD"/>
        </w:rPr>
        <w:t xml:space="preserve"> putea încasa venituri de </w:t>
      </w:r>
      <w:r w:rsidRPr="00921938">
        <w:rPr>
          <w:rFonts w:asciiTheme="majorHAnsi" w:eastAsia="Calibri" w:hAnsiTheme="majorHAnsi" w:cstheme="majorHAnsi"/>
          <w:sz w:val="24"/>
          <w:szCs w:val="24"/>
          <w:lang w:val="ro-MD"/>
        </w:rPr>
        <w:t xml:space="preserve">489,2 mii lei, iar în perioda 2013-2020 (I jum.) </w:t>
      </w:r>
      <w:r w:rsidR="00591EEB">
        <w:rPr>
          <w:rFonts w:asciiTheme="majorHAnsi" w:eastAsia="Calibri" w:hAnsiTheme="majorHAnsi" w:cstheme="majorHAnsi"/>
          <w:sz w:val="24"/>
          <w:szCs w:val="24"/>
          <w:lang w:val="ro-MD"/>
        </w:rPr>
        <w:t>–</w:t>
      </w:r>
      <w:r w:rsidRPr="00921938">
        <w:rPr>
          <w:rFonts w:asciiTheme="majorHAnsi" w:eastAsia="Calibri" w:hAnsiTheme="majorHAnsi" w:cstheme="majorHAnsi"/>
          <w:sz w:val="24"/>
          <w:szCs w:val="24"/>
          <w:lang w:val="ro-MD"/>
        </w:rPr>
        <w:t xml:space="preserve"> </w:t>
      </w:r>
      <w:r w:rsidR="00591EEB">
        <w:rPr>
          <w:rFonts w:asciiTheme="majorHAnsi" w:eastAsia="Calibri" w:hAnsiTheme="majorHAnsi" w:cstheme="majorHAnsi"/>
          <w:sz w:val="24"/>
          <w:szCs w:val="24"/>
          <w:lang w:val="ro-MD"/>
        </w:rPr>
        <w:t xml:space="preserve">de </w:t>
      </w:r>
      <w:r w:rsidRPr="00921938">
        <w:rPr>
          <w:rFonts w:asciiTheme="majorHAnsi" w:eastAsia="Calibri" w:hAnsiTheme="majorHAnsi" w:cstheme="majorHAnsi"/>
          <w:sz w:val="24"/>
          <w:szCs w:val="24"/>
          <w:lang w:val="ro-MD"/>
        </w:rPr>
        <w:t>3,05 mil.lei.</w:t>
      </w:r>
    </w:p>
    <w:p w14:paraId="3A96409D" w14:textId="0B321033" w:rsidR="003B624E" w:rsidRPr="00921938" w:rsidRDefault="003B624E" w:rsidP="00325F1F">
      <w:pPr>
        <w:spacing w:after="0" w:line="276" w:lineRule="auto"/>
        <w:jc w:val="both"/>
        <w:rPr>
          <w:rFonts w:asciiTheme="majorHAnsi" w:eastAsia="Times New Roman" w:hAnsiTheme="majorHAnsi" w:cstheme="majorHAnsi"/>
          <w:color w:val="000000" w:themeColor="text1"/>
          <w:sz w:val="24"/>
          <w:szCs w:val="24"/>
          <w:lang w:val="ro-MD"/>
        </w:rPr>
      </w:pPr>
      <w:r w:rsidRPr="00921938">
        <w:rPr>
          <w:rFonts w:asciiTheme="majorHAnsi" w:eastAsia="Times New Roman" w:hAnsiTheme="majorHAnsi" w:cstheme="majorHAnsi"/>
          <w:color w:val="000000" w:themeColor="text1"/>
          <w:sz w:val="24"/>
          <w:szCs w:val="24"/>
          <w:lang w:val="ro-MD"/>
        </w:rPr>
        <w:t xml:space="preserve">La MECC și </w:t>
      </w:r>
      <w:r w:rsidRPr="00921938">
        <w:rPr>
          <w:rFonts w:asciiTheme="majorHAnsi" w:eastAsia="Times New Roman" w:hAnsiTheme="majorHAnsi" w:cstheme="majorHAnsi"/>
          <w:sz w:val="24"/>
          <w:szCs w:val="24"/>
          <w:lang w:val="ro-MD"/>
        </w:rPr>
        <w:t xml:space="preserve">20 </w:t>
      </w:r>
      <w:r w:rsidR="00591EEB">
        <w:rPr>
          <w:rFonts w:asciiTheme="majorHAnsi" w:eastAsia="Times New Roman" w:hAnsiTheme="majorHAnsi" w:cstheme="majorHAnsi"/>
          <w:sz w:val="24"/>
          <w:szCs w:val="24"/>
          <w:lang w:val="ro-MD"/>
        </w:rPr>
        <w:t xml:space="preserve">de </w:t>
      </w:r>
      <w:r w:rsidRPr="00921938">
        <w:rPr>
          <w:rFonts w:asciiTheme="majorHAnsi" w:eastAsia="Times New Roman" w:hAnsiTheme="majorHAnsi" w:cstheme="majorHAnsi"/>
          <w:color w:val="000000" w:themeColor="text1"/>
          <w:sz w:val="24"/>
          <w:szCs w:val="24"/>
          <w:lang w:val="ro-MD"/>
        </w:rPr>
        <w:t xml:space="preserve">entități din subordine se află în folosință cel puțin </w:t>
      </w:r>
      <w:r w:rsidRPr="00921938">
        <w:rPr>
          <w:rFonts w:asciiTheme="majorHAnsi" w:eastAsia="Times New Roman" w:hAnsiTheme="majorHAnsi" w:cstheme="majorHAnsi"/>
          <w:sz w:val="24"/>
          <w:szCs w:val="24"/>
          <w:lang w:val="ro-MD"/>
        </w:rPr>
        <w:t xml:space="preserve">98 </w:t>
      </w:r>
      <w:r w:rsidR="00591EEB">
        <w:rPr>
          <w:rFonts w:asciiTheme="majorHAnsi" w:eastAsia="Times New Roman" w:hAnsiTheme="majorHAnsi" w:cstheme="majorHAnsi"/>
          <w:sz w:val="24"/>
          <w:szCs w:val="24"/>
          <w:lang w:val="ro-MD"/>
        </w:rPr>
        <w:t xml:space="preserve">de </w:t>
      </w:r>
      <w:r w:rsidRPr="00921938">
        <w:rPr>
          <w:rFonts w:asciiTheme="majorHAnsi" w:eastAsia="Times New Roman" w:hAnsiTheme="majorHAnsi" w:cstheme="majorHAnsi"/>
          <w:sz w:val="24"/>
          <w:szCs w:val="24"/>
          <w:lang w:val="ro-MD"/>
        </w:rPr>
        <w:t>imobile</w:t>
      </w:r>
      <w:r w:rsidRPr="00921938">
        <w:rPr>
          <w:rStyle w:val="FootnoteReference"/>
          <w:rFonts w:asciiTheme="majorHAnsi" w:eastAsia="Times New Roman" w:hAnsiTheme="majorHAnsi" w:cstheme="majorHAnsi"/>
          <w:sz w:val="24"/>
          <w:szCs w:val="24"/>
          <w:lang w:val="ro-MD"/>
        </w:rPr>
        <w:footnoteReference w:id="67"/>
      </w:r>
      <w:r w:rsidRPr="00921938">
        <w:rPr>
          <w:rFonts w:asciiTheme="majorHAnsi" w:eastAsia="Times New Roman" w:hAnsiTheme="majorHAnsi" w:cstheme="majorHAnsi"/>
          <w:color w:val="000000" w:themeColor="text1"/>
          <w:sz w:val="24"/>
          <w:szCs w:val="24"/>
          <w:lang w:val="ro-MD"/>
        </w:rPr>
        <w:t xml:space="preserve"> pentru care nu s-au aplicat regulile generale de recunoaștere a valorii acestora</w:t>
      </w:r>
      <w:r w:rsidR="00591EEB">
        <w:rPr>
          <w:rFonts w:asciiTheme="majorHAnsi" w:eastAsia="Times New Roman" w:hAnsiTheme="majorHAnsi" w:cstheme="majorHAnsi"/>
          <w:color w:val="000000" w:themeColor="text1"/>
          <w:sz w:val="24"/>
          <w:szCs w:val="24"/>
          <w:lang w:val="ro-MD"/>
        </w:rPr>
        <w:t>,</w:t>
      </w:r>
      <w:r w:rsidRPr="00921938">
        <w:rPr>
          <w:rFonts w:asciiTheme="majorHAnsi" w:eastAsia="Times New Roman" w:hAnsiTheme="majorHAnsi" w:cstheme="majorHAnsi"/>
          <w:color w:val="000000" w:themeColor="text1"/>
          <w:sz w:val="24"/>
          <w:szCs w:val="24"/>
          <w:lang w:val="ro-MD"/>
        </w:rPr>
        <w:t xml:space="preserve"> prevăzute de Ordinul MF nr. 216/2015. Din acestea, 22</w:t>
      </w:r>
      <w:r w:rsidR="00591EEB">
        <w:rPr>
          <w:rFonts w:asciiTheme="majorHAnsi" w:eastAsia="Times New Roman" w:hAnsiTheme="majorHAnsi" w:cstheme="majorHAnsi"/>
          <w:color w:val="000000" w:themeColor="text1"/>
          <w:sz w:val="24"/>
          <w:szCs w:val="24"/>
          <w:lang w:val="ro-MD"/>
        </w:rPr>
        <w:t xml:space="preserve"> de</w:t>
      </w:r>
      <w:r w:rsidRPr="00921938">
        <w:rPr>
          <w:rFonts w:asciiTheme="majorHAnsi" w:eastAsia="Times New Roman" w:hAnsiTheme="majorHAnsi" w:cstheme="majorHAnsi"/>
          <w:color w:val="000000" w:themeColor="text1"/>
          <w:sz w:val="24"/>
          <w:szCs w:val="24"/>
          <w:lang w:val="ro-MD"/>
        </w:rPr>
        <w:t xml:space="preserve"> imobile nici nu sunt declarate că sunt în folosință.</w:t>
      </w:r>
    </w:p>
    <w:p w14:paraId="46BA9174" w14:textId="5D1F8EC2" w:rsidR="00BC2AB9" w:rsidRPr="00921938" w:rsidRDefault="00B06123" w:rsidP="00325F1F">
      <w:pPr>
        <w:pStyle w:val="ListParagraph"/>
        <w:shd w:val="clear" w:color="auto" w:fill="FFFFFF" w:themeFill="background1"/>
        <w:spacing w:line="276" w:lineRule="auto"/>
        <w:ind w:left="0"/>
        <w:rPr>
          <w:rFonts w:asciiTheme="majorHAnsi" w:eastAsia="MS Mincho" w:hAnsiTheme="majorHAnsi" w:cstheme="majorHAnsi"/>
          <w:sz w:val="24"/>
          <w:szCs w:val="28"/>
          <w:lang w:val="ro-MD" w:eastAsia="ja-JP"/>
        </w:rPr>
      </w:pPr>
      <w:r w:rsidRPr="00921938">
        <w:rPr>
          <w:rFonts w:asciiTheme="majorHAnsi" w:hAnsiTheme="majorHAnsi" w:cstheme="majorHAnsi"/>
          <w:b/>
          <w:bCs/>
          <w:sz w:val="24"/>
          <w:szCs w:val="24"/>
          <w:lang w:val="ro-MD"/>
        </w:rPr>
        <w:t>5</w:t>
      </w:r>
      <w:r w:rsidR="00BC2AB9" w:rsidRPr="00921938">
        <w:rPr>
          <w:rFonts w:asciiTheme="majorHAnsi" w:hAnsiTheme="majorHAnsi" w:cstheme="majorHAnsi"/>
          <w:b/>
          <w:bCs/>
          <w:sz w:val="24"/>
          <w:szCs w:val="24"/>
          <w:lang w:val="ro-MD"/>
        </w:rPr>
        <w:t>.1</w:t>
      </w:r>
      <w:r w:rsidRPr="00921938">
        <w:rPr>
          <w:rFonts w:asciiTheme="majorHAnsi" w:hAnsiTheme="majorHAnsi" w:cstheme="majorHAnsi"/>
          <w:b/>
          <w:bCs/>
          <w:sz w:val="24"/>
          <w:szCs w:val="24"/>
          <w:lang w:val="ro-MD"/>
        </w:rPr>
        <w:t>3</w:t>
      </w:r>
      <w:r w:rsidR="00BC2AB9" w:rsidRPr="00921938">
        <w:rPr>
          <w:rFonts w:asciiTheme="majorHAnsi" w:hAnsiTheme="majorHAnsi" w:cstheme="majorHAnsi"/>
          <w:b/>
          <w:bCs/>
          <w:sz w:val="24"/>
          <w:szCs w:val="24"/>
          <w:lang w:val="ro-MD"/>
        </w:rPr>
        <w:t>.</w:t>
      </w:r>
      <w:r w:rsidR="00BC2AB9" w:rsidRPr="00921938">
        <w:rPr>
          <w:rFonts w:asciiTheme="majorHAnsi" w:hAnsiTheme="majorHAnsi" w:cstheme="majorHAnsi"/>
          <w:sz w:val="24"/>
          <w:szCs w:val="24"/>
          <w:lang w:val="ro-MD"/>
        </w:rPr>
        <w:t xml:space="preserve"> </w:t>
      </w:r>
      <w:r w:rsidR="00BC2AB9" w:rsidRPr="00921938">
        <w:rPr>
          <w:rFonts w:asciiTheme="majorHAnsi" w:hAnsiTheme="majorHAnsi" w:cstheme="majorHAnsi"/>
          <w:sz w:val="24"/>
          <w:szCs w:val="28"/>
          <w:lang w:val="ro-MD"/>
        </w:rPr>
        <w:t>Monitoriz</w:t>
      </w:r>
      <w:r w:rsidR="00591EEB">
        <w:rPr>
          <w:rFonts w:asciiTheme="majorHAnsi" w:hAnsiTheme="majorHAnsi" w:cstheme="majorHAnsi"/>
          <w:sz w:val="24"/>
          <w:szCs w:val="28"/>
          <w:lang w:val="ro-MD"/>
        </w:rPr>
        <w:t>area</w:t>
      </w:r>
      <w:r w:rsidR="00BC2AB9" w:rsidRPr="00921938">
        <w:rPr>
          <w:rFonts w:asciiTheme="majorHAnsi" w:hAnsiTheme="majorHAnsi" w:cstheme="majorHAnsi"/>
          <w:sz w:val="24"/>
          <w:szCs w:val="28"/>
          <w:lang w:val="ro-MD"/>
        </w:rPr>
        <w:t xml:space="preserve"> neconformă de către MECC și responsabilul tehnic a procesului de executare a contractului de reconstrucție și modernizare a Centrului de Excelență în Servicii și Prelucrarea Alimentelor din mun. Bălți (</w:t>
      </w:r>
      <w:bookmarkStart w:id="7" w:name="_GoBack"/>
      <w:r w:rsidR="00BC2AB9" w:rsidRPr="00921938">
        <w:rPr>
          <w:rFonts w:asciiTheme="majorHAnsi" w:hAnsiTheme="majorHAnsi" w:cstheme="majorHAnsi"/>
          <w:sz w:val="24"/>
          <w:szCs w:val="28"/>
          <w:lang w:val="ro-MD"/>
        </w:rPr>
        <w:t>CESPA</w:t>
      </w:r>
      <w:bookmarkEnd w:id="7"/>
      <w:r w:rsidR="00BC2AB9" w:rsidRPr="00921938">
        <w:rPr>
          <w:rFonts w:asciiTheme="majorHAnsi" w:hAnsiTheme="majorHAnsi" w:cstheme="majorHAnsi"/>
          <w:sz w:val="24"/>
          <w:szCs w:val="28"/>
          <w:lang w:val="ro-MD"/>
        </w:rPr>
        <w:t>)</w:t>
      </w:r>
      <w:r w:rsidR="00591EEB">
        <w:rPr>
          <w:rFonts w:asciiTheme="majorHAnsi" w:hAnsiTheme="majorHAnsi" w:cstheme="majorHAnsi"/>
          <w:sz w:val="24"/>
          <w:szCs w:val="28"/>
          <w:lang w:val="ro-MD"/>
        </w:rPr>
        <w:t>,</w:t>
      </w:r>
      <w:r w:rsidR="00BC2AB9" w:rsidRPr="00921938">
        <w:rPr>
          <w:rFonts w:asciiTheme="majorHAnsi" w:hAnsiTheme="majorHAnsi" w:cstheme="majorHAnsi"/>
          <w:sz w:val="24"/>
          <w:szCs w:val="28"/>
          <w:lang w:val="ro-MD"/>
        </w:rPr>
        <w:t xml:space="preserve"> în sumă de </w:t>
      </w:r>
      <w:r w:rsidR="00BC2AB9" w:rsidRPr="00921938">
        <w:rPr>
          <w:rFonts w:asciiTheme="majorHAnsi" w:hAnsiTheme="majorHAnsi" w:cstheme="majorHAnsi"/>
          <w:b/>
          <w:sz w:val="24"/>
          <w:szCs w:val="28"/>
          <w:lang w:val="ro-MD"/>
        </w:rPr>
        <w:t xml:space="preserve">22,2 mil.lei, </w:t>
      </w:r>
      <w:r w:rsidR="00BC2AB9" w:rsidRPr="00921938">
        <w:rPr>
          <w:rFonts w:asciiTheme="majorHAnsi" w:hAnsiTheme="majorHAnsi" w:cstheme="majorHAnsi"/>
          <w:sz w:val="24"/>
          <w:szCs w:val="28"/>
          <w:lang w:val="ro-MD"/>
        </w:rPr>
        <w:t>a dus la</w:t>
      </w:r>
      <w:r w:rsidR="00BC2AB9" w:rsidRPr="00921938">
        <w:rPr>
          <w:rFonts w:asciiTheme="majorHAnsi" w:eastAsia="MS Mincho" w:hAnsiTheme="majorHAnsi" w:cstheme="majorHAnsi"/>
          <w:sz w:val="24"/>
          <w:szCs w:val="24"/>
          <w:lang w:val="ro-MD" w:eastAsia="ja-JP"/>
        </w:rPr>
        <w:t xml:space="preserve"> faptul că volumul de lucrări confirmat prin acte</w:t>
      </w:r>
      <w:r w:rsidR="00591EEB">
        <w:rPr>
          <w:rFonts w:asciiTheme="majorHAnsi" w:eastAsia="MS Mincho" w:hAnsiTheme="majorHAnsi" w:cstheme="majorHAnsi"/>
          <w:sz w:val="24"/>
          <w:szCs w:val="24"/>
          <w:lang w:val="ro-MD" w:eastAsia="ja-JP"/>
        </w:rPr>
        <w:t>le</w:t>
      </w:r>
      <w:r w:rsidR="00BC2AB9" w:rsidRPr="00921938">
        <w:rPr>
          <w:rFonts w:asciiTheme="majorHAnsi" w:eastAsia="MS Mincho" w:hAnsiTheme="majorHAnsi" w:cstheme="majorHAnsi"/>
          <w:sz w:val="24"/>
          <w:szCs w:val="24"/>
          <w:lang w:val="ro-MD" w:eastAsia="ja-JP"/>
        </w:rPr>
        <w:t xml:space="preserve"> de recepție, semnate de</w:t>
      </w:r>
      <w:r w:rsidR="00BC2AB9" w:rsidRPr="00921938">
        <w:rPr>
          <w:rFonts w:asciiTheme="majorHAnsi" w:hAnsiTheme="majorHAnsi" w:cstheme="majorHAnsi"/>
          <w:sz w:val="24"/>
          <w:szCs w:val="24"/>
          <w:lang w:val="ro-MD"/>
        </w:rPr>
        <w:t xml:space="preserve"> responsabilul tehnic și reprezentantul MECC</w:t>
      </w:r>
      <w:r w:rsidR="00BC2AB9" w:rsidRPr="00921938">
        <w:rPr>
          <w:rFonts w:asciiTheme="majorHAnsi" w:eastAsia="MS Mincho" w:hAnsiTheme="majorHAnsi" w:cstheme="majorHAnsi"/>
          <w:sz w:val="24"/>
          <w:szCs w:val="24"/>
          <w:lang w:val="ro-MD" w:eastAsia="ja-JP"/>
        </w:rPr>
        <w:t xml:space="preserve">, dar </w:t>
      </w:r>
      <w:r w:rsidR="00BC2AB9" w:rsidRPr="00921938">
        <w:rPr>
          <w:rFonts w:asciiTheme="majorHAnsi" w:eastAsia="MS Mincho" w:hAnsiTheme="majorHAnsi" w:cstheme="majorHAnsi"/>
          <w:sz w:val="24"/>
          <w:szCs w:val="24"/>
          <w:lang w:val="ro-MD" w:eastAsia="ja-JP"/>
        </w:rPr>
        <w:lastRenderedPageBreak/>
        <w:t xml:space="preserve">care efectiv/fizic nu a fost executat, constituie 3,15 mil.lei, din care </w:t>
      </w:r>
      <w:r w:rsidR="00BC2AB9" w:rsidRPr="00921938">
        <w:rPr>
          <w:rFonts w:asciiTheme="majorHAnsi" w:eastAsia="MS Mincho" w:hAnsiTheme="majorHAnsi" w:cstheme="majorHAnsi"/>
          <w:bCs/>
          <w:iCs/>
          <w:sz w:val="24"/>
          <w:szCs w:val="24"/>
          <w:lang w:val="ro-MD" w:eastAsia="ja-JP"/>
        </w:rPr>
        <w:t>0,54 mil.lei nici nu va mai putea fi îndeplinit.</w:t>
      </w:r>
      <w:r w:rsidR="00414134">
        <w:rPr>
          <w:rFonts w:asciiTheme="majorHAnsi" w:eastAsia="MS Mincho" w:hAnsiTheme="majorHAnsi" w:cstheme="majorHAnsi"/>
          <w:bCs/>
          <w:iCs/>
          <w:sz w:val="24"/>
          <w:szCs w:val="24"/>
          <w:lang w:val="ro-MD" w:eastAsia="ja-JP"/>
        </w:rPr>
        <w:t xml:space="preserve"> </w:t>
      </w:r>
      <w:r w:rsidR="00BC2AB9" w:rsidRPr="00921938">
        <w:rPr>
          <w:rFonts w:asciiTheme="majorHAnsi" w:eastAsia="MS Mincho" w:hAnsiTheme="majorHAnsi" w:cstheme="majorHAnsi"/>
          <w:bCs/>
          <w:iCs/>
          <w:sz w:val="24"/>
          <w:szCs w:val="24"/>
          <w:lang w:val="ro-MD" w:eastAsia="ja-JP"/>
        </w:rPr>
        <w:t xml:space="preserve">De asemenea, </w:t>
      </w:r>
      <w:r w:rsidR="00BC2AB9" w:rsidRPr="00921938">
        <w:rPr>
          <w:rFonts w:asciiTheme="majorHAnsi" w:eastAsia="Calibri" w:hAnsiTheme="majorHAnsi" w:cstheme="majorHAnsi"/>
          <w:sz w:val="24"/>
          <w:szCs w:val="24"/>
          <w:lang w:val="ro-MD"/>
        </w:rPr>
        <w:t>MECC</w:t>
      </w:r>
      <w:r w:rsidR="00591EEB">
        <w:rPr>
          <w:rFonts w:asciiTheme="majorHAnsi" w:eastAsia="Calibri" w:hAnsiTheme="majorHAnsi" w:cstheme="majorHAnsi"/>
          <w:sz w:val="24"/>
          <w:szCs w:val="24"/>
          <w:lang w:val="ro-MD"/>
        </w:rPr>
        <w:t>,</w:t>
      </w:r>
      <w:r w:rsidR="00BC2AB9" w:rsidRPr="00921938">
        <w:rPr>
          <w:rFonts w:asciiTheme="majorHAnsi" w:eastAsia="Calibri" w:hAnsiTheme="majorHAnsi" w:cstheme="majorHAnsi"/>
          <w:sz w:val="24"/>
          <w:szCs w:val="24"/>
          <w:lang w:val="ro-MD"/>
        </w:rPr>
        <w:t xml:space="preserve"> ca autoritate contractantă</w:t>
      </w:r>
      <w:r w:rsidR="00591EEB">
        <w:rPr>
          <w:rFonts w:asciiTheme="majorHAnsi" w:eastAsia="Calibri" w:hAnsiTheme="majorHAnsi" w:cstheme="majorHAnsi"/>
          <w:sz w:val="24"/>
          <w:szCs w:val="24"/>
          <w:lang w:val="ro-MD"/>
        </w:rPr>
        <w:t>,</w:t>
      </w:r>
      <w:r w:rsidR="00BC2AB9" w:rsidRPr="00921938">
        <w:rPr>
          <w:rFonts w:asciiTheme="majorHAnsi" w:eastAsia="Calibri" w:hAnsiTheme="majorHAnsi" w:cstheme="majorHAnsi"/>
          <w:sz w:val="24"/>
          <w:szCs w:val="24"/>
          <w:lang w:val="ro-MD"/>
        </w:rPr>
        <w:t xml:space="preserve"> nu a respectat cadrul legal</w:t>
      </w:r>
      <w:r w:rsidR="00BC2AB9" w:rsidRPr="00921938">
        <w:rPr>
          <w:rStyle w:val="FootnoteReference"/>
          <w:rFonts w:asciiTheme="majorHAnsi" w:eastAsia="Calibri" w:hAnsiTheme="majorHAnsi" w:cstheme="majorHAnsi"/>
          <w:sz w:val="24"/>
          <w:szCs w:val="24"/>
          <w:lang w:val="ro-MD"/>
        </w:rPr>
        <w:footnoteReference w:id="68"/>
      </w:r>
      <w:r w:rsidR="00BC2AB9" w:rsidRPr="00921938">
        <w:rPr>
          <w:rFonts w:asciiTheme="majorHAnsi" w:hAnsiTheme="majorHAnsi" w:cstheme="majorHAnsi"/>
          <w:lang w:val="ro-MD"/>
        </w:rPr>
        <w:t xml:space="preserve"> </w:t>
      </w:r>
      <w:r w:rsidR="00BC2AB9" w:rsidRPr="00921938">
        <w:rPr>
          <w:rFonts w:asciiTheme="majorHAnsi" w:eastAsia="Calibri" w:hAnsiTheme="majorHAnsi" w:cstheme="majorHAnsi"/>
          <w:sz w:val="24"/>
          <w:szCs w:val="24"/>
          <w:lang w:val="ro-MD"/>
        </w:rPr>
        <w:t xml:space="preserve">în vederea aplicării răspunderii materiale a antreprenorului pentru executarea cu întârziere a lucrărilor practic la toate compartimentele. În lipsa </w:t>
      </w:r>
      <w:r w:rsidR="00BC2AB9" w:rsidRPr="00921938">
        <w:rPr>
          <w:rFonts w:asciiTheme="majorHAnsi" w:hAnsiTheme="majorHAnsi" w:cstheme="majorHAnsi"/>
          <w:sz w:val="24"/>
          <w:szCs w:val="28"/>
          <w:lang w:val="ro-MD"/>
        </w:rPr>
        <w:t>procedurii oficiale de modificare a condițiilor contractuale, antreprenorul a micșorat unele tipuri de lucrări cu 0,85 mil.lei și a majorat alte tipuri de lucrări cu 1,8 mil.lei. În procesul lucrărilor de demontare,</w:t>
      </w:r>
      <w:r w:rsidR="00BC2AB9" w:rsidRPr="00921938">
        <w:rPr>
          <w:rFonts w:asciiTheme="majorHAnsi" w:eastAsia="MS Mincho" w:hAnsiTheme="majorHAnsi" w:cstheme="majorHAnsi"/>
          <w:sz w:val="24"/>
          <w:szCs w:val="28"/>
          <w:lang w:val="ro-MD" w:eastAsia="ja-JP"/>
        </w:rPr>
        <w:t xml:space="preserve"> </w:t>
      </w:r>
      <w:r w:rsidR="00BC2AB9" w:rsidRPr="00921938">
        <w:rPr>
          <w:rFonts w:asciiTheme="majorHAnsi" w:hAnsiTheme="majorHAnsi" w:cstheme="majorHAnsi"/>
          <w:sz w:val="24"/>
          <w:szCs w:val="28"/>
          <w:lang w:val="ro-MD"/>
        </w:rPr>
        <w:t xml:space="preserve">materialele care puteau fi </w:t>
      </w:r>
      <w:r w:rsidR="00591EEB">
        <w:rPr>
          <w:rFonts w:asciiTheme="majorHAnsi" w:hAnsiTheme="majorHAnsi" w:cstheme="majorHAnsi"/>
          <w:sz w:val="24"/>
          <w:szCs w:val="28"/>
          <w:lang w:val="ro-MD"/>
        </w:rPr>
        <w:t>înregistrate</w:t>
      </w:r>
      <w:r w:rsidR="00591EEB" w:rsidRPr="00921938">
        <w:rPr>
          <w:rFonts w:asciiTheme="majorHAnsi" w:hAnsiTheme="majorHAnsi" w:cstheme="majorHAnsi"/>
          <w:sz w:val="24"/>
          <w:szCs w:val="28"/>
          <w:lang w:val="ro-MD"/>
        </w:rPr>
        <w:t xml:space="preserve"> </w:t>
      </w:r>
      <w:r w:rsidR="00BC2AB9" w:rsidRPr="00921938">
        <w:rPr>
          <w:rFonts w:asciiTheme="majorHAnsi" w:hAnsiTheme="majorHAnsi" w:cstheme="majorHAnsi"/>
          <w:sz w:val="24"/>
          <w:szCs w:val="28"/>
          <w:lang w:val="ro-MD"/>
        </w:rPr>
        <w:t>la venituri de către CESPA, au fost ridicate de către antreprenor fără să documenteze acțiunile sale</w:t>
      </w:r>
      <w:r w:rsidR="00BC2AB9" w:rsidRPr="00921938">
        <w:rPr>
          <w:rStyle w:val="FootnoteReference"/>
          <w:rFonts w:asciiTheme="majorHAnsi" w:hAnsiTheme="majorHAnsi" w:cstheme="majorHAnsi"/>
          <w:sz w:val="24"/>
          <w:szCs w:val="28"/>
          <w:lang w:val="ro-MD"/>
        </w:rPr>
        <w:footnoteReference w:id="69"/>
      </w:r>
      <w:r w:rsidR="00BC2AB9" w:rsidRPr="00921938">
        <w:rPr>
          <w:rFonts w:asciiTheme="majorHAnsi" w:eastAsia="MS Mincho" w:hAnsiTheme="majorHAnsi" w:cstheme="majorHAnsi"/>
          <w:sz w:val="24"/>
          <w:szCs w:val="28"/>
          <w:lang w:val="ro-MD" w:eastAsia="ja-JP"/>
        </w:rPr>
        <w:t xml:space="preserve">. </w:t>
      </w:r>
    </w:p>
    <w:p w14:paraId="02487B22" w14:textId="1EB48F95" w:rsidR="00580397" w:rsidRPr="00921938" w:rsidRDefault="00B06123" w:rsidP="00325F1F">
      <w:pPr>
        <w:spacing w:after="0" w:line="276" w:lineRule="auto"/>
        <w:jc w:val="both"/>
        <w:rPr>
          <w:rFonts w:asciiTheme="majorHAnsi" w:hAnsiTheme="majorHAnsi" w:cstheme="majorHAnsi"/>
          <w:bCs/>
          <w:sz w:val="24"/>
          <w:szCs w:val="24"/>
          <w:lang w:val="ro-MD"/>
        </w:rPr>
      </w:pPr>
      <w:r w:rsidRPr="00921938">
        <w:rPr>
          <w:rFonts w:asciiTheme="majorHAnsi" w:hAnsiTheme="majorHAnsi" w:cstheme="majorHAnsi"/>
          <w:b/>
          <w:sz w:val="24"/>
          <w:szCs w:val="24"/>
          <w:lang w:val="ro-MD"/>
        </w:rPr>
        <w:t>5</w:t>
      </w:r>
      <w:r w:rsidR="00580397" w:rsidRPr="00921938">
        <w:rPr>
          <w:rFonts w:asciiTheme="majorHAnsi" w:hAnsiTheme="majorHAnsi" w:cstheme="majorHAnsi"/>
          <w:b/>
          <w:sz w:val="24"/>
          <w:szCs w:val="24"/>
          <w:lang w:val="ro-MD"/>
        </w:rPr>
        <w:t>.1</w:t>
      </w:r>
      <w:r w:rsidRPr="00921938">
        <w:rPr>
          <w:rFonts w:asciiTheme="majorHAnsi" w:hAnsiTheme="majorHAnsi" w:cstheme="majorHAnsi"/>
          <w:b/>
          <w:sz w:val="24"/>
          <w:szCs w:val="24"/>
          <w:lang w:val="ro-MD"/>
        </w:rPr>
        <w:t>4</w:t>
      </w:r>
      <w:r w:rsidR="00580397" w:rsidRPr="00921938">
        <w:rPr>
          <w:rFonts w:asciiTheme="majorHAnsi" w:hAnsiTheme="majorHAnsi" w:cstheme="majorHAnsi"/>
          <w:bCs/>
          <w:i/>
          <w:sz w:val="24"/>
          <w:szCs w:val="24"/>
          <w:lang w:val="ro-MD"/>
        </w:rPr>
        <w:t xml:space="preserve"> MECC nu a asigurat monitorizarea și inventarierea anuală a obligațiilor contractuale aferente valorii garanțiilor de bună execuție a obiectivelor de investiții capitale</w:t>
      </w:r>
      <w:r w:rsidR="00580397" w:rsidRPr="00921938">
        <w:rPr>
          <w:rStyle w:val="FootnoteReference"/>
          <w:rFonts w:asciiTheme="majorHAnsi" w:hAnsiTheme="majorHAnsi" w:cstheme="majorHAnsi"/>
          <w:bCs/>
          <w:i/>
          <w:sz w:val="24"/>
          <w:szCs w:val="24"/>
          <w:lang w:val="ro-MD"/>
        </w:rPr>
        <w:footnoteReference w:id="70"/>
      </w:r>
      <w:r w:rsidR="00580397" w:rsidRPr="00921938">
        <w:rPr>
          <w:rFonts w:asciiTheme="majorHAnsi" w:hAnsiTheme="majorHAnsi" w:cstheme="majorHAnsi"/>
          <w:bCs/>
          <w:i/>
          <w:sz w:val="24"/>
          <w:szCs w:val="24"/>
          <w:lang w:val="ro-MD"/>
        </w:rPr>
        <w:t>, c</w:t>
      </w:r>
      <w:r w:rsidR="00591EEB">
        <w:rPr>
          <w:rFonts w:asciiTheme="majorHAnsi" w:hAnsiTheme="majorHAnsi" w:cstheme="majorHAnsi"/>
          <w:bCs/>
          <w:i/>
          <w:sz w:val="24"/>
          <w:szCs w:val="24"/>
          <w:lang w:val="ro-MD"/>
        </w:rPr>
        <w:t>ar</w:t>
      </w:r>
      <w:r w:rsidR="00580397" w:rsidRPr="00921938">
        <w:rPr>
          <w:rFonts w:asciiTheme="majorHAnsi" w:hAnsiTheme="majorHAnsi" w:cstheme="majorHAnsi"/>
          <w:bCs/>
          <w:i/>
          <w:sz w:val="24"/>
          <w:szCs w:val="24"/>
          <w:lang w:val="ro-MD"/>
        </w:rPr>
        <w:t xml:space="preserve">e urmau a fi depuse la un cont de depozit bancar separat. </w:t>
      </w:r>
      <w:r w:rsidR="00580397" w:rsidRPr="00921938">
        <w:rPr>
          <w:rFonts w:asciiTheme="majorHAnsi" w:eastAsia="Calibri" w:hAnsiTheme="majorHAnsi" w:cstheme="majorHAnsi"/>
          <w:sz w:val="24"/>
          <w:szCs w:val="24"/>
          <w:lang w:val="ro-MD"/>
        </w:rPr>
        <w:t>În anul 2</w:t>
      </w:r>
      <w:r w:rsidR="00580397" w:rsidRPr="00921938">
        <w:rPr>
          <w:rFonts w:asciiTheme="majorHAnsi" w:hAnsiTheme="majorHAnsi" w:cstheme="majorHAnsi"/>
          <w:bCs/>
          <w:sz w:val="24"/>
          <w:szCs w:val="24"/>
          <w:lang w:val="ro-MD"/>
        </w:rPr>
        <w:t>019</w:t>
      </w:r>
      <w:r w:rsidR="00B847C2">
        <w:rPr>
          <w:rFonts w:asciiTheme="majorHAnsi" w:hAnsiTheme="majorHAnsi" w:cstheme="majorHAnsi"/>
          <w:bCs/>
          <w:sz w:val="24"/>
          <w:szCs w:val="24"/>
          <w:lang w:val="ro-MD"/>
        </w:rPr>
        <w:t>,</w:t>
      </w:r>
      <w:r w:rsidR="00580397" w:rsidRPr="00921938">
        <w:rPr>
          <w:rFonts w:asciiTheme="majorHAnsi" w:hAnsiTheme="majorHAnsi" w:cstheme="majorHAnsi"/>
          <w:bCs/>
          <w:sz w:val="24"/>
          <w:szCs w:val="24"/>
          <w:lang w:val="ro-MD"/>
        </w:rPr>
        <w:t xml:space="preserve"> pentru cheltuielile capitale de investiții executate în sumă totală de 52,8 mil.lei nu au fost efectuate rețineri a</w:t>
      </w:r>
      <w:r w:rsidR="00B847C2">
        <w:rPr>
          <w:rFonts w:asciiTheme="majorHAnsi" w:hAnsiTheme="majorHAnsi" w:cstheme="majorHAnsi"/>
          <w:bCs/>
          <w:sz w:val="24"/>
          <w:szCs w:val="24"/>
          <w:lang w:val="ro-MD"/>
        </w:rPr>
        <w:t>le</w:t>
      </w:r>
      <w:r w:rsidR="00580397" w:rsidRPr="00921938">
        <w:rPr>
          <w:rFonts w:asciiTheme="majorHAnsi" w:hAnsiTheme="majorHAnsi" w:cstheme="majorHAnsi"/>
          <w:bCs/>
          <w:sz w:val="24"/>
          <w:szCs w:val="24"/>
          <w:lang w:val="ro-MD"/>
        </w:rPr>
        <w:t xml:space="preserve"> </w:t>
      </w:r>
      <w:r w:rsidR="00580397" w:rsidRPr="00921938">
        <w:rPr>
          <w:rFonts w:asciiTheme="majorHAnsi" w:hAnsiTheme="majorHAnsi" w:cstheme="majorHAnsi"/>
          <w:bCs/>
          <w:i/>
          <w:sz w:val="24"/>
          <w:szCs w:val="24"/>
          <w:lang w:val="ro-MD"/>
        </w:rPr>
        <w:t>garanțiilor de bună execuție</w:t>
      </w:r>
      <w:r w:rsidR="00580397" w:rsidRPr="00921938">
        <w:rPr>
          <w:rFonts w:asciiTheme="majorHAnsi" w:hAnsiTheme="majorHAnsi" w:cstheme="majorHAnsi"/>
          <w:bCs/>
          <w:sz w:val="24"/>
          <w:szCs w:val="24"/>
          <w:lang w:val="ro-MD"/>
        </w:rPr>
        <w:t xml:space="preserve"> în mărime de 5%</w:t>
      </w:r>
      <w:r w:rsidR="00B847C2">
        <w:rPr>
          <w:rFonts w:asciiTheme="majorHAnsi" w:hAnsiTheme="majorHAnsi" w:cstheme="majorHAnsi"/>
          <w:bCs/>
          <w:sz w:val="24"/>
          <w:szCs w:val="24"/>
          <w:lang w:val="ro-MD"/>
        </w:rPr>
        <w:t>,</w:t>
      </w:r>
      <w:r w:rsidR="00580397" w:rsidRPr="00921938">
        <w:rPr>
          <w:rFonts w:asciiTheme="majorHAnsi" w:hAnsiTheme="majorHAnsi" w:cstheme="majorHAnsi"/>
          <w:bCs/>
          <w:sz w:val="24"/>
          <w:szCs w:val="24"/>
          <w:lang w:val="ro-MD"/>
        </w:rPr>
        <w:t xml:space="preserve"> sau 2,6 mil.lei. De fapt, MECC</w:t>
      </w:r>
      <w:r w:rsidR="00B847C2">
        <w:rPr>
          <w:rFonts w:asciiTheme="majorHAnsi" w:hAnsiTheme="majorHAnsi" w:cstheme="majorHAnsi"/>
          <w:bCs/>
          <w:sz w:val="24"/>
          <w:szCs w:val="24"/>
          <w:lang w:val="ro-MD"/>
        </w:rPr>
        <w:t>,</w:t>
      </w:r>
      <w:r w:rsidR="00580397" w:rsidRPr="00921938">
        <w:rPr>
          <w:rFonts w:asciiTheme="majorHAnsi" w:hAnsiTheme="majorHAnsi" w:cstheme="majorHAnsi"/>
          <w:bCs/>
          <w:sz w:val="24"/>
          <w:szCs w:val="24"/>
          <w:lang w:val="ro-MD"/>
        </w:rPr>
        <w:t xml:space="preserve"> </w:t>
      </w:r>
      <w:r w:rsidR="00580397" w:rsidRPr="00921938">
        <w:rPr>
          <w:rFonts w:asciiTheme="majorHAnsi" w:eastAsia="Calibri" w:hAnsiTheme="majorHAnsi" w:cstheme="majorHAnsi"/>
          <w:sz w:val="24"/>
          <w:szCs w:val="24"/>
          <w:lang w:val="ro-MD"/>
        </w:rPr>
        <w:t>prin acte</w:t>
      </w:r>
      <w:r w:rsidR="00B847C2">
        <w:rPr>
          <w:rFonts w:asciiTheme="majorHAnsi" w:eastAsia="Calibri" w:hAnsiTheme="majorHAnsi" w:cstheme="majorHAnsi"/>
          <w:sz w:val="24"/>
          <w:szCs w:val="24"/>
          <w:lang w:val="ro-MD"/>
        </w:rPr>
        <w:t>le</w:t>
      </w:r>
      <w:r w:rsidR="00580397" w:rsidRPr="00921938">
        <w:rPr>
          <w:rFonts w:asciiTheme="majorHAnsi" w:eastAsia="Calibri" w:hAnsiTheme="majorHAnsi" w:cstheme="majorHAnsi"/>
          <w:sz w:val="24"/>
          <w:szCs w:val="24"/>
          <w:lang w:val="ro-MD"/>
        </w:rPr>
        <w:t xml:space="preserve"> de inventariere, ca sold efectiv prezent la conturile de depozit, poate confirma existența unei garanții de</w:t>
      </w:r>
      <w:r w:rsidR="00580397" w:rsidRPr="00921938">
        <w:rPr>
          <w:rFonts w:asciiTheme="majorHAnsi" w:hAnsiTheme="majorHAnsi" w:cstheme="majorHAnsi"/>
          <w:bCs/>
          <w:sz w:val="24"/>
          <w:szCs w:val="24"/>
          <w:lang w:val="ro-MD"/>
        </w:rPr>
        <w:t xml:space="preserve"> doar 0,6 mil.lei. Neîncasarea garanțiilor de bună execuție în sumă de 0,8 mil.lei s-a constata</w:t>
      </w:r>
      <w:r w:rsidR="00B847C2">
        <w:rPr>
          <w:rFonts w:asciiTheme="majorHAnsi" w:hAnsiTheme="majorHAnsi" w:cstheme="majorHAnsi"/>
          <w:bCs/>
          <w:sz w:val="24"/>
          <w:szCs w:val="24"/>
          <w:lang w:val="ro-MD"/>
        </w:rPr>
        <w:t>t</w:t>
      </w:r>
      <w:r w:rsidR="00580397" w:rsidRPr="00921938">
        <w:rPr>
          <w:rFonts w:asciiTheme="majorHAnsi" w:hAnsiTheme="majorHAnsi" w:cstheme="majorHAnsi"/>
          <w:bCs/>
          <w:sz w:val="24"/>
          <w:szCs w:val="24"/>
          <w:lang w:val="ro-MD"/>
        </w:rPr>
        <w:t xml:space="preserve"> și la instituțiile din subordinea MECC</w:t>
      </w:r>
      <w:r w:rsidR="00580397" w:rsidRPr="00921938">
        <w:rPr>
          <w:rStyle w:val="FootnoteReference"/>
          <w:rFonts w:asciiTheme="majorHAnsi" w:hAnsiTheme="majorHAnsi" w:cstheme="majorHAnsi"/>
          <w:bCs/>
          <w:sz w:val="24"/>
          <w:szCs w:val="24"/>
          <w:lang w:val="ro-MD"/>
        </w:rPr>
        <w:footnoteReference w:id="71"/>
      </w:r>
      <w:r w:rsidR="00580397" w:rsidRPr="00921938">
        <w:rPr>
          <w:rFonts w:asciiTheme="majorHAnsi" w:hAnsiTheme="majorHAnsi" w:cstheme="majorHAnsi"/>
          <w:bCs/>
          <w:sz w:val="24"/>
          <w:szCs w:val="24"/>
          <w:lang w:val="ro-MD"/>
        </w:rPr>
        <w:t xml:space="preserve">. </w:t>
      </w:r>
    </w:p>
    <w:p w14:paraId="583AB558" w14:textId="43E2E21E" w:rsidR="00391895" w:rsidRPr="00921938" w:rsidRDefault="00C32EB9"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b/>
          <w:sz w:val="24"/>
          <w:szCs w:val="24"/>
          <w:lang w:val="ro-MD"/>
        </w:rPr>
        <w:t>5</w:t>
      </w:r>
      <w:r w:rsidR="00391895" w:rsidRPr="00921938">
        <w:rPr>
          <w:rFonts w:asciiTheme="majorHAnsi" w:hAnsiTheme="majorHAnsi" w:cstheme="majorHAnsi"/>
          <w:b/>
          <w:sz w:val="24"/>
          <w:szCs w:val="24"/>
          <w:lang w:val="ro-MD"/>
        </w:rPr>
        <w:t>.1</w:t>
      </w:r>
      <w:r w:rsidRPr="00921938">
        <w:rPr>
          <w:rFonts w:asciiTheme="majorHAnsi" w:hAnsiTheme="majorHAnsi" w:cstheme="majorHAnsi"/>
          <w:b/>
          <w:sz w:val="24"/>
          <w:szCs w:val="24"/>
          <w:lang w:val="ro-MD"/>
        </w:rPr>
        <w:t>5</w:t>
      </w:r>
      <w:r w:rsidR="00391895" w:rsidRPr="00921938">
        <w:rPr>
          <w:rFonts w:asciiTheme="majorHAnsi" w:hAnsiTheme="majorHAnsi" w:cstheme="majorHAnsi"/>
          <w:b/>
          <w:sz w:val="24"/>
          <w:szCs w:val="24"/>
          <w:lang w:val="ro-MD"/>
        </w:rPr>
        <w:t>.</w:t>
      </w:r>
      <w:r w:rsidR="00391895" w:rsidRPr="00921938">
        <w:rPr>
          <w:rFonts w:asciiTheme="majorHAnsi" w:hAnsiTheme="majorHAnsi" w:cstheme="majorHAnsi"/>
          <w:sz w:val="24"/>
          <w:szCs w:val="24"/>
          <w:lang w:val="ro-MD"/>
        </w:rPr>
        <w:t xml:space="preserve"> Grantul alocat Teatrului Național de Operă și Balet „Maria Bieșu” pentru lucrări de reparație a balconului</w:t>
      </w:r>
      <w:r w:rsidR="00B847C2">
        <w:rPr>
          <w:rFonts w:asciiTheme="majorHAnsi" w:hAnsiTheme="majorHAnsi" w:cstheme="majorHAnsi"/>
          <w:sz w:val="24"/>
          <w:szCs w:val="24"/>
          <w:lang w:val="ro-MD"/>
        </w:rPr>
        <w:t>,</w:t>
      </w:r>
      <w:r w:rsidR="00391895" w:rsidRPr="00921938">
        <w:rPr>
          <w:rFonts w:asciiTheme="majorHAnsi" w:hAnsiTheme="majorHAnsi" w:cstheme="majorHAnsi"/>
          <w:sz w:val="24"/>
          <w:szCs w:val="24"/>
          <w:lang w:val="ro-MD"/>
        </w:rPr>
        <w:t xml:space="preserve"> în valoare de 1,0 mil.lei, a fost utilizat contrar destinației, pentru achitarea </w:t>
      </w:r>
      <w:r w:rsidR="00B847C2">
        <w:rPr>
          <w:rFonts w:asciiTheme="majorHAnsi" w:hAnsiTheme="majorHAnsi" w:cstheme="majorHAnsi"/>
          <w:sz w:val="24"/>
          <w:szCs w:val="24"/>
          <w:lang w:val="ro-MD"/>
        </w:rPr>
        <w:t>consumului</w:t>
      </w:r>
      <w:r w:rsidR="00B847C2" w:rsidRPr="00921938">
        <w:rPr>
          <w:rFonts w:asciiTheme="majorHAnsi" w:hAnsiTheme="majorHAnsi" w:cstheme="majorHAnsi"/>
          <w:sz w:val="24"/>
          <w:szCs w:val="24"/>
          <w:lang w:val="ro-MD"/>
        </w:rPr>
        <w:t xml:space="preserve"> </w:t>
      </w:r>
      <w:r w:rsidR="00391895" w:rsidRPr="00921938">
        <w:rPr>
          <w:rFonts w:asciiTheme="majorHAnsi" w:hAnsiTheme="majorHAnsi" w:cstheme="majorHAnsi"/>
          <w:sz w:val="24"/>
          <w:szCs w:val="24"/>
          <w:lang w:val="ro-MD"/>
        </w:rPr>
        <w:t>de energie electrică, energie termică și serviciilor de transport aerian internațional.</w:t>
      </w:r>
    </w:p>
    <w:p w14:paraId="47AC4D21" w14:textId="7490DDD8" w:rsidR="00FF4A90" w:rsidRPr="00921938" w:rsidRDefault="00C32EB9"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b/>
          <w:sz w:val="24"/>
          <w:szCs w:val="24"/>
          <w:lang w:val="ro-MD"/>
        </w:rPr>
        <w:t>5</w:t>
      </w:r>
      <w:r w:rsidR="00FF4A90" w:rsidRPr="00921938">
        <w:rPr>
          <w:rFonts w:asciiTheme="majorHAnsi" w:hAnsiTheme="majorHAnsi" w:cstheme="majorHAnsi"/>
          <w:b/>
          <w:sz w:val="24"/>
          <w:szCs w:val="24"/>
          <w:lang w:val="ro-MD"/>
        </w:rPr>
        <w:t>.1</w:t>
      </w:r>
      <w:r w:rsidRPr="00921938">
        <w:rPr>
          <w:rFonts w:asciiTheme="majorHAnsi" w:hAnsiTheme="majorHAnsi" w:cstheme="majorHAnsi"/>
          <w:b/>
          <w:sz w:val="24"/>
          <w:szCs w:val="24"/>
          <w:lang w:val="ro-MD"/>
        </w:rPr>
        <w:t>6</w:t>
      </w:r>
      <w:r w:rsidR="00FF4A90" w:rsidRPr="00921938">
        <w:rPr>
          <w:rFonts w:asciiTheme="majorHAnsi" w:hAnsiTheme="majorHAnsi" w:cstheme="majorHAnsi"/>
          <w:b/>
          <w:sz w:val="24"/>
          <w:szCs w:val="24"/>
          <w:lang w:val="ro-MD"/>
        </w:rPr>
        <w:t>.</w:t>
      </w:r>
      <w:r w:rsidR="00FF4A90" w:rsidRPr="00921938">
        <w:rPr>
          <w:rFonts w:asciiTheme="majorHAnsi" w:hAnsiTheme="majorHAnsi" w:cstheme="majorHAnsi"/>
          <w:sz w:val="24"/>
          <w:szCs w:val="24"/>
          <w:lang w:val="ro-MD"/>
        </w:rPr>
        <w:t xml:space="preserve"> Serviciile informaționale prestate MECC de către </w:t>
      </w:r>
      <w:r w:rsidR="000107F1">
        <w:rPr>
          <w:rFonts w:asciiTheme="majorHAnsi" w:hAnsiTheme="majorHAnsi" w:cstheme="majorHAnsi"/>
          <w:sz w:val="24"/>
          <w:szCs w:val="24"/>
          <w:lang w:val="ro-MD"/>
        </w:rPr>
        <w:t>Î</w:t>
      </w:r>
      <w:r w:rsidR="00FF4A90" w:rsidRPr="00921938">
        <w:rPr>
          <w:rFonts w:asciiTheme="majorHAnsi" w:hAnsiTheme="majorHAnsi" w:cstheme="majorHAnsi"/>
          <w:sz w:val="24"/>
          <w:szCs w:val="24"/>
          <w:lang w:val="ro-MD"/>
        </w:rPr>
        <w:t>.S. Institutul de Dezvoltare a Societății Informaționale</w:t>
      </w:r>
      <w:r w:rsidR="00FF4A90" w:rsidRPr="00921938">
        <w:rPr>
          <w:rStyle w:val="FootnoteReference"/>
          <w:rFonts w:asciiTheme="majorHAnsi" w:hAnsiTheme="majorHAnsi" w:cstheme="majorHAnsi"/>
          <w:sz w:val="24"/>
          <w:szCs w:val="24"/>
          <w:lang w:val="ro-MD"/>
        </w:rPr>
        <w:footnoteReference w:id="72"/>
      </w:r>
      <w:r w:rsidR="009E3BDC">
        <w:rPr>
          <w:rFonts w:asciiTheme="majorHAnsi" w:hAnsiTheme="majorHAnsi" w:cstheme="majorHAnsi"/>
          <w:sz w:val="24"/>
          <w:szCs w:val="24"/>
          <w:lang w:val="ro-MD"/>
        </w:rPr>
        <w:t>,</w:t>
      </w:r>
      <w:r w:rsidR="00FF4A90" w:rsidRPr="00921938">
        <w:rPr>
          <w:rFonts w:asciiTheme="majorHAnsi" w:hAnsiTheme="majorHAnsi" w:cstheme="majorHAnsi"/>
          <w:sz w:val="24"/>
          <w:szCs w:val="24"/>
          <w:lang w:val="ro-MD"/>
        </w:rPr>
        <w:t xml:space="preserve"> în valoare de 1</w:t>
      </w:r>
      <w:r w:rsidR="00E51839" w:rsidRPr="00921938">
        <w:rPr>
          <w:rFonts w:asciiTheme="majorHAnsi" w:hAnsiTheme="majorHAnsi" w:cstheme="majorHAnsi"/>
          <w:sz w:val="24"/>
          <w:szCs w:val="24"/>
          <w:lang w:val="ro-MD"/>
        </w:rPr>
        <w:t>,</w:t>
      </w:r>
      <w:r w:rsidR="00FF4A90" w:rsidRPr="00921938">
        <w:rPr>
          <w:rFonts w:asciiTheme="majorHAnsi" w:hAnsiTheme="majorHAnsi" w:cstheme="majorHAnsi"/>
          <w:sz w:val="24"/>
          <w:szCs w:val="24"/>
          <w:lang w:val="ro-MD"/>
        </w:rPr>
        <w:t>47 mi</w:t>
      </w:r>
      <w:r w:rsidR="00E51839" w:rsidRPr="00921938">
        <w:rPr>
          <w:rFonts w:asciiTheme="majorHAnsi" w:hAnsiTheme="majorHAnsi" w:cstheme="majorHAnsi"/>
          <w:sz w:val="24"/>
          <w:szCs w:val="24"/>
          <w:lang w:val="ro-MD"/>
        </w:rPr>
        <w:t>l.</w:t>
      </w:r>
      <w:r w:rsidR="00FF4A90" w:rsidRPr="00921938">
        <w:rPr>
          <w:rFonts w:asciiTheme="majorHAnsi" w:hAnsiTheme="majorHAnsi" w:cstheme="majorHAnsi"/>
          <w:sz w:val="24"/>
          <w:szCs w:val="24"/>
          <w:lang w:val="ro-MD"/>
        </w:rPr>
        <w:t>lei</w:t>
      </w:r>
      <w:r w:rsidR="009E3BDC">
        <w:rPr>
          <w:rFonts w:asciiTheme="majorHAnsi" w:hAnsiTheme="majorHAnsi" w:cstheme="majorHAnsi"/>
          <w:sz w:val="24"/>
          <w:szCs w:val="24"/>
          <w:lang w:val="ro-MD"/>
        </w:rPr>
        <w:t>,</w:t>
      </w:r>
      <w:r w:rsidR="00FF4A90" w:rsidRPr="00921938">
        <w:rPr>
          <w:rFonts w:asciiTheme="majorHAnsi" w:hAnsiTheme="majorHAnsi" w:cstheme="majorHAnsi"/>
          <w:sz w:val="24"/>
          <w:szCs w:val="24"/>
          <w:lang w:val="ro-MD"/>
        </w:rPr>
        <w:t xml:space="preserve"> nu pot fi confirmate, deoarece actele de predare-primire a serviciilor informatice nu conțin date exhaustive pentru determinarea volumului serviciului prestat și valorii acestora. </w:t>
      </w:r>
    </w:p>
    <w:p w14:paraId="5A830246" w14:textId="3BF2B9EB" w:rsidR="00E51839" w:rsidRPr="00921938" w:rsidRDefault="00C32EB9" w:rsidP="00325F1F">
      <w:pPr>
        <w:pStyle w:val="ListParagraph"/>
        <w:shd w:val="clear" w:color="auto" w:fill="FFFFFF" w:themeFill="background1"/>
        <w:spacing w:line="276" w:lineRule="auto"/>
        <w:ind w:left="0"/>
        <w:rPr>
          <w:rFonts w:asciiTheme="majorHAnsi" w:eastAsia="Calibri" w:hAnsiTheme="majorHAnsi" w:cstheme="majorHAnsi"/>
          <w:sz w:val="24"/>
          <w:szCs w:val="24"/>
          <w:lang w:val="ro-MD"/>
        </w:rPr>
      </w:pPr>
      <w:r w:rsidRPr="00921938">
        <w:rPr>
          <w:rFonts w:asciiTheme="majorHAnsi" w:eastAsia="Calibri" w:hAnsiTheme="majorHAnsi" w:cstheme="majorHAnsi"/>
          <w:b/>
          <w:sz w:val="24"/>
          <w:szCs w:val="24"/>
          <w:lang w:val="ro-MD"/>
        </w:rPr>
        <w:t>5</w:t>
      </w:r>
      <w:r w:rsidR="00E51839" w:rsidRPr="00921938">
        <w:rPr>
          <w:rFonts w:asciiTheme="majorHAnsi" w:eastAsia="Calibri" w:hAnsiTheme="majorHAnsi" w:cstheme="majorHAnsi"/>
          <w:b/>
          <w:sz w:val="24"/>
          <w:szCs w:val="24"/>
          <w:lang w:val="ro-MD"/>
        </w:rPr>
        <w:t>.1</w:t>
      </w:r>
      <w:r w:rsidRPr="00921938">
        <w:rPr>
          <w:rFonts w:asciiTheme="majorHAnsi" w:eastAsia="Calibri" w:hAnsiTheme="majorHAnsi" w:cstheme="majorHAnsi"/>
          <w:b/>
          <w:sz w:val="24"/>
          <w:szCs w:val="24"/>
          <w:lang w:val="ro-MD"/>
        </w:rPr>
        <w:t>7</w:t>
      </w:r>
      <w:r w:rsidR="00E51839" w:rsidRPr="00921938">
        <w:rPr>
          <w:rFonts w:asciiTheme="majorHAnsi" w:eastAsia="Calibri" w:hAnsiTheme="majorHAnsi" w:cstheme="majorHAnsi"/>
          <w:b/>
          <w:sz w:val="24"/>
          <w:szCs w:val="24"/>
          <w:lang w:val="ro-MD"/>
        </w:rPr>
        <w:t>.</w:t>
      </w:r>
      <w:r w:rsidR="00E51839" w:rsidRPr="00921938">
        <w:rPr>
          <w:rFonts w:asciiTheme="majorHAnsi" w:eastAsia="Calibri" w:hAnsiTheme="majorHAnsi" w:cstheme="majorHAnsi"/>
          <w:sz w:val="24"/>
          <w:szCs w:val="24"/>
          <w:lang w:val="ro-MD"/>
        </w:rPr>
        <w:t xml:space="preserve"> MECC nu a asigurat o evidență analitică pe obiecte a investițiilor în curs de execuție, inclusiv prin inventarieri efectuate și raportate regulamentar (Ordin</w:t>
      </w:r>
      <w:r w:rsidR="009E3BDC">
        <w:rPr>
          <w:rFonts w:asciiTheme="majorHAnsi" w:eastAsia="Calibri" w:hAnsiTheme="majorHAnsi" w:cstheme="majorHAnsi"/>
          <w:sz w:val="24"/>
          <w:szCs w:val="24"/>
          <w:lang w:val="ro-MD"/>
        </w:rPr>
        <w:t>ul</w:t>
      </w:r>
      <w:r w:rsidR="00E51839" w:rsidRPr="00921938">
        <w:rPr>
          <w:rFonts w:asciiTheme="majorHAnsi" w:eastAsia="Calibri" w:hAnsiTheme="majorHAnsi" w:cstheme="majorHAnsi"/>
          <w:sz w:val="24"/>
          <w:szCs w:val="24"/>
          <w:lang w:val="ro-MD"/>
        </w:rPr>
        <w:t xml:space="preserve"> MF </w:t>
      </w:r>
      <w:r w:rsidR="009E3BDC">
        <w:rPr>
          <w:rFonts w:asciiTheme="majorHAnsi" w:eastAsia="Calibri" w:hAnsiTheme="majorHAnsi" w:cstheme="majorHAnsi"/>
          <w:sz w:val="24"/>
          <w:szCs w:val="24"/>
          <w:lang w:val="ro-MD"/>
        </w:rPr>
        <w:t>nr.</w:t>
      </w:r>
      <w:r w:rsidR="00E51839" w:rsidRPr="00921938">
        <w:rPr>
          <w:rFonts w:asciiTheme="majorHAnsi" w:eastAsia="Calibri" w:hAnsiTheme="majorHAnsi" w:cstheme="majorHAnsi"/>
          <w:sz w:val="24"/>
          <w:szCs w:val="24"/>
          <w:lang w:val="ro-MD"/>
        </w:rPr>
        <w:t xml:space="preserve">60/2012), ceea ce </w:t>
      </w:r>
      <w:r w:rsidR="00E51839" w:rsidRPr="00921938">
        <w:rPr>
          <w:rFonts w:asciiTheme="majorHAnsi" w:eastAsia="Times New Roman" w:hAnsiTheme="majorHAnsi" w:cstheme="majorHAnsi"/>
          <w:sz w:val="24"/>
          <w:szCs w:val="24"/>
          <w:lang w:val="ro-MD"/>
        </w:rPr>
        <w:t>nu permite determinarea exhaustivă a</w:t>
      </w:r>
      <w:r w:rsidR="00414134">
        <w:rPr>
          <w:rFonts w:asciiTheme="majorHAnsi" w:eastAsia="Times New Roman" w:hAnsiTheme="majorHAnsi" w:cstheme="majorHAnsi"/>
          <w:sz w:val="24"/>
          <w:szCs w:val="24"/>
          <w:lang w:val="ro-MD"/>
        </w:rPr>
        <w:t xml:space="preserve"> </w:t>
      </w:r>
      <w:r w:rsidR="00E51839" w:rsidRPr="00921938">
        <w:rPr>
          <w:rFonts w:asciiTheme="majorHAnsi" w:eastAsia="Times New Roman" w:hAnsiTheme="majorHAnsi" w:cstheme="majorHAnsi"/>
          <w:sz w:val="24"/>
          <w:szCs w:val="24"/>
          <w:lang w:val="ro-MD"/>
        </w:rPr>
        <w:t>valorii obiectelor de investiții, respectiv</w:t>
      </w:r>
      <w:r w:rsidR="008D6500">
        <w:rPr>
          <w:rFonts w:asciiTheme="majorHAnsi" w:eastAsia="Times New Roman" w:hAnsiTheme="majorHAnsi" w:cstheme="majorHAnsi"/>
          <w:sz w:val="24"/>
          <w:szCs w:val="24"/>
          <w:lang w:val="ro-MD"/>
        </w:rPr>
        <w:t>,</w:t>
      </w:r>
      <w:r w:rsidR="00E51839" w:rsidRPr="00921938">
        <w:rPr>
          <w:rFonts w:asciiTheme="majorHAnsi" w:eastAsia="Times New Roman" w:hAnsiTheme="majorHAnsi" w:cstheme="majorHAnsi"/>
          <w:sz w:val="24"/>
          <w:szCs w:val="24"/>
          <w:lang w:val="ro-MD"/>
        </w:rPr>
        <w:t xml:space="preserve"> a valorii contului 319 </w:t>
      </w:r>
      <w:r w:rsidR="00E51839" w:rsidRPr="00921938">
        <w:rPr>
          <w:rFonts w:asciiTheme="majorHAnsi" w:hAnsiTheme="majorHAnsi" w:cstheme="majorHAnsi"/>
          <w:sz w:val="24"/>
          <w:szCs w:val="24"/>
          <w:lang w:val="ro-MD"/>
        </w:rPr>
        <w:t>„Investiții capitale în active în curs de execuție”</w:t>
      </w:r>
      <w:r w:rsidR="00E51839" w:rsidRPr="00921938">
        <w:rPr>
          <w:rFonts w:asciiTheme="majorHAnsi" w:eastAsia="Calibri" w:hAnsiTheme="majorHAnsi" w:cstheme="majorHAnsi"/>
          <w:sz w:val="24"/>
          <w:szCs w:val="24"/>
          <w:lang w:val="ro-MD"/>
        </w:rPr>
        <w:t xml:space="preserve">. În unele cazuri, aceste situații sunt generate de lipsa documentelor pentru confirmarea cheltuielile înregistrate. </w:t>
      </w:r>
    </w:p>
    <w:p w14:paraId="38483C84" w14:textId="6161C356" w:rsidR="00856D48" w:rsidRPr="00921938" w:rsidRDefault="00C32EB9" w:rsidP="00325F1F">
      <w:pPr>
        <w:spacing w:after="0" w:line="276" w:lineRule="auto"/>
        <w:jc w:val="both"/>
        <w:rPr>
          <w:lang w:val="ro-MD"/>
        </w:rPr>
      </w:pPr>
      <w:r w:rsidRPr="00921938">
        <w:rPr>
          <w:rFonts w:asciiTheme="majorHAnsi" w:eastAsia="Times New Roman" w:hAnsiTheme="majorHAnsi" w:cstheme="majorHAnsi"/>
          <w:b/>
          <w:bCs/>
          <w:iCs/>
          <w:sz w:val="24"/>
          <w:szCs w:val="24"/>
          <w:lang w:val="ro-MD"/>
        </w:rPr>
        <w:t>5</w:t>
      </w:r>
      <w:r w:rsidR="00221F6A" w:rsidRPr="00921938">
        <w:rPr>
          <w:rFonts w:asciiTheme="majorHAnsi" w:eastAsia="Times New Roman" w:hAnsiTheme="majorHAnsi" w:cstheme="majorHAnsi"/>
          <w:b/>
          <w:bCs/>
          <w:iCs/>
          <w:sz w:val="24"/>
          <w:szCs w:val="24"/>
          <w:lang w:val="ro-MD"/>
        </w:rPr>
        <w:t>.1</w:t>
      </w:r>
      <w:r w:rsidRPr="00921938">
        <w:rPr>
          <w:rFonts w:asciiTheme="majorHAnsi" w:eastAsia="Times New Roman" w:hAnsiTheme="majorHAnsi" w:cstheme="majorHAnsi"/>
          <w:b/>
          <w:bCs/>
          <w:iCs/>
          <w:sz w:val="24"/>
          <w:szCs w:val="24"/>
          <w:lang w:val="ro-MD"/>
        </w:rPr>
        <w:t>8</w:t>
      </w:r>
      <w:r w:rsidR="00221F6A" w:rsidRPr="00921938">
        <w:rPr>
          <w:rFonts w:asciiTheme="majorHAnsi" w:eastAsia="Times New Roman" w:hAnsiTheme="majorHAnsi" w:cstheme="majorHAnsi"/>
          <w:b/>
          <w:bCs/>
          <w:iCs/>
          <w:sz w:val="24"/>
          <w:szCs w:val="24"/>
          <w:lang w:val="ro-MD"/>
        </w:rPr>
        <w:t>.</w:t>
      </w:r>
      <w:r w:rsidR="00221F6A" w:rsidRPr="00921938">
        <w:rPr>
          <w:rFonts w:asciiTheme="majorHAnsi" w:eastAsia="Times New Roman" w:hAnsiTheme="majorHAnsi" w:cstheme="majorHAnsi"/>
          <w:iCs/>
          <w:sz w:val="24"/>
          <w:szCs w:val="24"/>
          <w:lang w:val="ro-MD"/>
        </w:rPr>
        <w:t xml:space="preserve"> </w:t>
      </w:r>
      <w:r w:rsidR="00856D48" w:rsidRPr="00921938">
        <w:rPr>
          <w:rFonts w:asciiTheme="majorHAnsi" w:hAnsiTheme="majorHAnsi" w:cstheme="majorHAnsi"/>
          <w:sz w:val="24"/>
          <w:szCs w:val="24"/>
          <w:lang w:val="ro-MD"/>
        </w:rPr>
        <w:t>Lipsa documentelor justificative întocmite conform nu permite confirm</w:t>
      </w:r>
      <w:r w:rsidR="00B24218">
        <w:rPr>
          <w:rFonts w:asciiTheme="majorHAnsi" w:hAnsiTheme="majorHAnsi" w:cstheme="majorHAnsi"/>
          <w:sz w:val="24"/>
          <w:szCs w:val="24"/>
          <w:lang w:val="ro-MD"/>
        </w:rPr>
        <w:t>a</w:t>
      </w:r>
      <w:r w:rsidR="00856D48" w:rsidRPr="00921938">
        <w:rPr>
          <w:rFonts w:asciiTheme="majorHAnsi" w:hAnsiTheme="majorHAnsi" w:cstheme="majorHAnsi"/>
          <w:sz w:val="24"/>
          <w:szCs w:val="24"/>
          <w:lang w:val="ro-MD"/>
        </w:rPr>
        <w:t xml:space="preserve">rea existenței bunurilor înregistrate la contul 317 </w:t>
      </w:r>
      <w:r w:rsidR="008D6500">
        <w:rPr>
          <w:rFonts w:asciiTheme="majorHAnsi" w:hAnsiTheme="majorHAnsi" w:cstheme="majorHAnsi"/>
          <w:sz w:val="24"/>
          <w:szCs w:val="24"/>
          <w:lang w:val="ro-MD"/>
        </w:rPr>
        <w:t>„A</w:t>
      </w:r>
      <w:r w:rsidR="00856D48" w:rsidRPr="00921938">
        <w:rPr>
          <w:rFonts w:asciiTheme="majorHAnsi" w:hAnsiTheme="majorHAnsi" w:cstheme="majorHAnsi"/>
          <w:sz w:val="24"/>
          <w:szCs w:val="24"/>
          <w:lang w:val="ro-MD"/>
        </w:rPr>
        <w:t>ctive nemateriale</w:t>
      </w:r>
      <w:r w:rsidR="008D6500">
        <w:rPr>
          <w:rFonts w:asciiTheme="majorHAnsi" w:hAnsiTheme="majorHAnsi" w:cstheme="majorHAnsi"/>
          <w:sz w:val="24"/>
          <w:szCs w:val="24"/>
          <w:lang w:val="ro-MD"/>
        </w:rPr>
        <w:t>”</w:t>
      </w:r>
      <w:r w:rsidR="00856D48" w:rsidRPr="00921938">
        <w:rPr>
          <w:rFonts w:asciiTheme="majorHAnsi" w:hAnsiTheme="majorHAnsi" w:cstheme="majorHAnsi"/>
          <w:sz w:val="24"/>
          <w:szCs w:val="24"/>
          <w:lang w:val="ro-MD"/>
        </w:rPr>
        <w:t xml:space="preserve"> în sumă de 218,2 mii lei</w:t>
      </w:r>
      <w:r w:rsidR="00856D48" w:rsidRPr="00921938">
        <w:rPr>
          <w:rStyle w:val="FootnoteReference"/>
          <w:rFonts w:asciiTheme="majorHAnsi" w:hAnsiTheme="majorHAnsi" w:cstheme="majorHAnsi"/>
          <w:sz w:val="24"/>
          <w:szCs w:val="24"/>
          <w:lang w:val="ro-MD"/>
        </w:rPr>
        <w:footnoteReference w:id="73"/>
      </w:r>
      <w:r w:rsidR="00856D48" w:rsidRPr="00921938">
        <w:rPr>
          <w:rFonts w:asciiTheme="majorHAnsi" w:hAnsiTheme="majorHAnsi" w:cstheme="majorHAnsi"/>
          <w:sz w:val="24"/>
          <w:szCs w:val="24"/>
          <w:lang w:val="ro-MD"/>
        </w:rPr>
        <w:t xml:space="preserve"> și </w:t>
      </w:r>
      <w:r w:rsidR="008D6500">
        <w:rPr>
          <w:rFonts w:asciiTheme="majorHAnsi" w:hAnsiTheme="majorHAnsi" w:cstheme="majorHAnsi"/>
          <w:sz w:val="24"/>
          <w:szCs w:val="24"/>
          <w:lang w:val="ro-MD"/>
        </w:rPr>
        <w:t xml:space="preserve">la contul </w:t>
      </w:r>
      <w:r w:rsidR="00856D48" w:rsidRPr="00921938">
        <w:rPr>
          <w:rFonts w:asciiTheme="majorHAnsi" w:hAnsiTheme="majorHAnsi" w:cstheme="majorHAnsi"/>
          <w:sz w:val="24"/>
          <w:szCs w:val="24"/>
          <w:lang w:val="ro-MD"/>
        </w:rPr>
        <w:t xml:space="preserve">„Stocuri de materiale circulante” în sumă de </w:t>
      </w:r>
      <w:r w:rsidR="00856D48" w:rsidRPr="00921938">
        <w:rPr>
          <w:rFonts w:asciiTheme="majorHAnsi" w:eastAsia="Calibri" w:hAnsiTheme="majorHAnsi" w:cstheme="majorHAnsi"/>
          <w:sz w:val="24"/>
          <w:szCs w:val="24"/>
          <w:lang w:val="ro-MD"/>
        </w:rPr>
        <w:t xml:space="preserve">548,1 mii lei. </w:t>
      </w:r>
    </w:p>
    <w:p w14:paraId="29EB6AE6" w14:textId="66478EC1" w:rsidR="00C97669" w:rsidRPr="00921938" w:rsidRDefault="00C32EB9"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b/>
          <w:bCs/>
          <w:sz w:val="24"/>
          <w:szCs w:val="24"/>
          <w:lang w:val="ro-MD"/>
        </w:rPr>
        <w:t>5</w:t>
      </w:r>
      <w:r w:rsidR="00EE3039" w:rsidRPr="00921938">
        <w:rPr>
          <w:rFonts w:asciiTheme="majorHAnsi" w:hAnsiTheme="majorHAnsi" w:cstheme="majorHAnsi"/>
          <w:b/>
          <w:bCs/>
          <w:sz w:val="24"/>
          <w:szCs w:val="24"/>
          <w:lang w:val="ro-MD"/>
        </w:rPr>
        <w:t>.1</w:t>
      </w:r>
      <w:r w:rsidRPr="00921938">
        <w:rPr>
          <w:rFonts w:asciiTheme="majorHAnsi" w:hAnsiTheme="majorHAnsi" w:cstheme="majorHAnsi"/>
          <w:b/>
          <w:bCs/>
          <w:sz w:val="24"/>
          <w:szCs w:val="24"/>
          <w:lang w:val="ro-MD"/>
        </w:rPr>
        <w:t>9</w:t>
      </w:r>
      <w:r w:rsidR="00EE3039" w:rsidRPr="00921938">
        <w:rPr>
          <w:rFonts w:asciiTheme="majorHAnsi" w:hAnsiTheme="majorHAnsi" w:cstheme="majorHAnsi"/>
          <w:b/>
          <w:bCs/>
          <w:sz w:val="24"/>
          <w:szCs w:val="24"/>
          <w:lang w:val="ro-MD"/>
        </w:rPr>
        <w:t>.</w:t>
      </w:r>
      <w:r w:rsidR="00EE3039" w:rsidRPr="00921938">
        <w:rPr>
          <w:rFonts w:asciiTheme="majorHAnsi" w:hAnsiTheme="majorHAnsi" w:cstheme="majorHAnsi"/>
          <w:sz w:val="24"/>
          <w:szCs w:val="24"/>
          <w:lang w:val="ro-MD"/>
        </w:rPr>
        <w:t xml:space="preserve"> </w:t>
      </w:r>
      <w:r w:rsidR="00856D48" w:rsidRPr="00921938">
        <w:rPr>
          <w:rFonts w:asciiTheme="majorHAnsi" w:hAnsiTheme="majorHAnsi" w:cstheme="majorHAnsi"/>
          <w:sz w:val="24"/>
          <w:szCs w:val="24"/>
          <w:lang w:val="ro-MD"/>
        </w:rPr>
        <w:t xml:space="preserve">Neînregistrarea în termen a </w:t>
      </w:r>
      <w:r w:rsidR="00B24218">
        <w:rPr>
          <w:rFonts w:asciiTheme="majorHAnsi" w:hAnsiTheme="majorHAnsi" w:cstheme="majorHAnsi"/>
          <w:sz w:val="24"/>
          <w:szCs w:val="24"/>
          <w:lang w:val="ro-MD"/>
        </w:rPr>
        <w:t xml:space="preserve">decontării </w:t>
      </w:r>
      <w:r w:rsidR="00856D48" w:rsidRPr="00921938">
        <w:rPr>
          <w:rFonts w:asciiTheme="majorHAnsi" w:hAnsiTheme="majorHAnsi" w:cstheme="majorHAnsi"/>
          <w:sz w:val="24"/>
          <w:szCs w:val="24"/>
          <w:lang w:val="ro-MD"/>
        </w:rPr>
        <w:t>„Stocurilor de materiale circulante” determină</w:t>
      </w:r>
      <w:r w:rsidR="00C97669" w:rsidRPr="00921938">
        <w:rPr>
          <w:rFonts w:asciiTheme="majorHAnsi" w:hAnsiTheme="majorHAnsi" w:cstheme="majorHAnsi"/>
          <w:sz w:val="24"/>
          <w:szCs w:val="24"/>
          <w:lang w:val="ro-MD"/>
        </w:rPr>
        <w:t xml:space="preserve"> majora</w:t>
      </w:r>
      <w:r w:rsidR="00856D48" w:rsidRPr="00921938">
        <w:rPr>
          <w:rFonts w:asciiTheme="majorHAnsi" w:hAnsiTheme="majorHAnsi" w:cstheme="majorHAnsi"/>
          <w:sz w:val="24"/>
          <w:szCs w:val="24"/>
          <w:lang w:val="ro-MD"/>
        </w:rPr>
        <w:t xml:space="preserve">rea </w:t>
      </w:r>
      <w:r w:rsidR="00C97669" w:rsidRPr="00921938">
        <w:rPr>
          <w:rFonts w:asciiTheme="majorHAnsi" w:hAnsiTheme="majorHAnsi" w:cstheme="majorHAnsi"/>
          <w:sz w:val="24"/>
          <w:szCs w:val="24"/>
          <w:lang w:val="ro-MD"/>
        </w:rPr>
        <w:t xml:space="preserve">cu </w:t>
      </w:r>
      <w:r w:rsidR="00C97669" w:rsidRPr="00921938">
        <w:rPr>
          <w:rFonts w:asciiTheme="majorHAnsi" w:eastAsia="Calibri" w:hAnsiTheme="majorHAnsi" w:cstheme="majorHAnsi"/>
          <w:sz w:val="24"/>
          <w:szCs w:val="24"/>
          <w:lang w:val="ro-MD"/>
        </w:rPr>
        <w:t xml:space="preserve">582,8 mii </w:t>
      </w:r>
      <w:r w:rsidR="00C97669" w:rsidRPr="00921938">
        <w:rPr>
          <w:rFonts w:asciiTheme="majorHAnsi" w:hAnsiTheme="majorHAnsi" w:cstheme="majorHAnsi"/>
          <w:sz w:val="24"/>
          <w:szCs w:val="24"/>
          <w:lang w:val="ro-MD"/>
        </w:rPr>
        <w:t xml:space="preserve">lei </w:t>
      </w:r>
      <w:r w:rsidR="00856D48" w:rsidRPr="00921938">
        <w:rPr>
          <w:rFonts w:asciiTheme="majorHAnsi" w:hAnsiTheme="majorHAnsi" w:cstheme="majorHAnsi"/>
          <w:sz w:val="24"/>
          <w:szCs w:val="24"/>
          <w:lang w:val="ro-MD"/>
        </w:rPr>
        <w:t>a valorii acestui cont.</w:t>
      </w:r>
      <w:r w:rsidR="00414134">
        <w:rPr>
          <w:rFonts w:asciiTheme="majorHAnsi" w:hAnsiTheme="majorHAnsi" w:cstheme="majorHAnsi"/>
          <w:b/>
          <w:sz w:val="24"/>
          <w:szCs w:val="24"/>
          <w:lang w:val="ro-MD"/>
        </w:rPr>
        <w:t xml:space="preserve"> </w:t>
      </w:r>
    </w:p>
    <w:p w14:paraId="6B67753C" w14:textId="222B7137" w:rsidR="00856D48" w:rsidRPr="00921938" w:rsidRDefault="00C32EB9" w:rsidP="00325F1F">
      <w:pPr>
        <w:spacing w:after="0" w:line="276" w:lineRule="auto"/>
        <w:jc w:val="both"/>
        <w:rPr>
          <w:rFonts w:asciiTheme="majorHAnsi" w:eastAsia="Calibri" w:hAnsiTheme="majorHAnsi" w:cstheme="majorHAnsi"/>
          <w:sz w:val="24"/>
          <w:szCs w:val="24"/>
          <w:lang w:val="ro-MD"/>
        </w:rPr>
      </w:pPr>
      <w:r w:rsidRPr="00921938">
        <w:rPr>
          <w:rFonts w:asciiTheme="majorHAnsi" w:hAnsiTheme="majorHAnsi" w:cstheme="majorHAnsi"/>
          <w:b/>
          <w:sz w:val="24"/>
          <w:szCs w:val="24"/>
          <w:lang w:val="ro-MD"/>
        </w:rPr>
        <w:t>5</w:t>
      </w:r>
      <w:r w:rsidR="00EE3039" w:rsidRPr="00921938">
        <w:rPr>
          <w:rFonts w:asciiTheme="majorHAnsi" w:hAnsiTheme="majorHAnsi" w:cstheme="majorHAnsi"/>
          <w:b/>
          <w:sz w:val="24"/>
          <w:szCs w:val="24"/>
          <w:lang w:val="ro-MD"/>
        </w:rPr>
        <w:t>.</w:t>
      </w:r>
      <w:r w:rsidRPr="00921938">
        <w:rPr>
          <w:rFonts w:asciiTheme="majorHAnsi" w:hAnsiTheme="majorHAnsi" w:cstheme="majorHAnsi"/>
          <w:b/>
          <w:sz w:val="24"/>
          <w:szCs w:val="24"/>
          <w:lang w:val="ro-MD"/>
        </w:rPr>
        <w:t>20</w:t>
      </w:r>
      <w:r w:rsidR="00EE3039" w:rsidRPr="00921938">
        <w:rPr>
          <w:rFonts w:asciiTheme="majorHAnsi" w:hAnsiTheme="majorHAnsi" w:cstheme="majorHAnsi"/>
          <w:b/>
          <w:sz w:val="24"/>
          <w:szCs w:val="24"/>
          <w:lang w:val="ro-MD"/>
        </w:rPr>
        <w:t>.</w:t>
      </w:r>
      <w:r w:rsidR="00EE3039" w:rsidRPr="00921938">
        <w:rPr>
          <w:rFonts w:asciiTheme="majorHAnsi" w:hAnsiTheme="majorHAnsi" w:cstheme="majorHAnsi"/>
          <w:sz w:val="24"/>
          <w:szCs w:val="24"/>
          <w:lang w:val="ro-MD"/>
        </w:rPr>
        <w:t xml:space="preserve"> </w:t>
      </w:r>
      <w:r w:rsidR="00856D48" w:rsidRPr="00921938">
        <w:rPr>
          <w:rFonts w:asciiTheme="majorHAnsi" w:eastAsia="Calibri" w:hAnsiTheme="majorHAnsi" w:cstheme="majorHAnsi"/>
          <w:sz w:val="24"/>
          <w:szCs w:val="24"/>
          <w:lang w:val="ro-MD"/>
        </w:rPr>
        <w:t>Lucrările de reparație capitală a edificiului Sălii cu Orgă, executate în anii 2016-2017</w:t>
      </w:r>
      <w:r w:rsidR="006D71BB">
        <w:rPr>
          <w:rFonts w:asciiTheme="majorHAnsi" w:eastAsia="Calibri" w:hAnsiTheme="majorHAnsi" w:cstheme="majorHAnsi"/>
          <w:sz w:val="24"/>
          <w:szCs w:val="24"/>
          <w:lang w:val="ro-MD"/>
        </w:rPr>
        <w:t>,</w:t>
      </w:r>
      <w:r w:rsidR="00856D48" w:rsidRPr="00921938">
        <w:rPr>
          <w:rFonts w:asciiTheme="majorHAnsi" w:eastAsia="Calibri" w:hAnsiTheme="majorHAnsi" w:cstheme="majorHAnsi"/>
          <w:sz w:val="24"/>
          <w:szCs w:val="24"/>
          <w:lang w:val="ro-MD"/>
        </w:rPr>
        <w:t xml:space="preserve"> în valoare de 1,9 mil.lei</w:t>
      </w:r>
      <w:r w:rsidR="006D71BB">
        <w:rPr>
          <w:rFonts w:asciiTheme="majorHAnsi" w:eastAsia="Calibri" w:hAnsiTheme="majorHAnsi" w:cstheme="majorHAnsi"/>
          <w:sz w:val="24"/>
          <w:szCs w:val="24"/>
          <w:lang w:val="ro-MD"/>
        </w:rPr>
        <w:t>,</w:t>
      </w:r>
      <w:r w:rsidR="00856D48" w:rsidRPr="00921938">
        <w:rPr>
          <w:rFonts w:asciiTheme="majorHAnsi" w:eastAsia="Calibri" w:hAnsiTheme="majorHAnsi" w:cstheme="majorHAnsi"/>
          <w:sz w:val="24"/>
          <w:szCs w:val="24"/>
          <w:lang w:val="ro-MD"/>
        </w:rPr>
        <w:t xml:space="preserve"> </w:t>
      </w:r>
      <w:r w:rsidR="00B753A0">
        <w:rPr>
          <w:rFonts w:asciiTheme="majorHAnsi" w:eastAsia="Calibri" w:hAnsiTheme="majorHAnsi" w:cstheme="majorHAnsi"/>
          <w:sz w:val="24"/>
          <w:szCs w:val="24"/>
          <w:lang w:val="ro-MD"/>
        </w:rPr>
        <w:t xml:space="preserve">dar care </w:t>
      </w:r>
      <w:r w:rsidR="00856D48" w:rsidRPr="00921938">
        <w:rPr>
          <w:rFonts w:asciiTheme="majorHAnsi" w:eastAsia="Calibri" w:hAnsiTheme="majorHAnsi" w:cstheme="majorHAnsi"/>
          <w:sz w:val="24"/>
          <w:szCs w:val="24"/>
          <w:lang w:val="ro-MD"/>
        </w:rPr>
        <w:t xml:space="preserve">nu au fost contractate, </w:t>
      </w:r>
      <w:r w:rsidR="00B753A0">
        <w:rPr>
          <w:rFonts w:asciiTheme="majorHAnsi" w:eastAsia="Calibri" w:hAnsiTheme="majorHAnsi" w:cstheme="majorHAnsi"/>
          <w:sz w:val="24"/>
          <w:szCs w:val="24"/>
          <w:lang w:val="ro-MD"/>
        </w:rPr>
        <w:t>în prezent sunt</w:t>
      </w:r>
      <w:r w:rsidR="00856D48" w:rsidRPr="00921938">
        <w:rPr>
          <w:rFonts w:asciiTheme="majorHAnsi" w:eastAsia="Calibri" w:hAnsiTheme="majorHAnsi" w:cstheme="majorHAnsi"/>
          <w:sz w:val="24"/>
          <w:szCs w:val="24"/>
          <w:lang w:val="ro-MD"/>
        </w:rPr>
        <w:t xml:space="preserve"> în litigiu.</w:t>
      </w:r>
    </w:p>
    <w:p w14:paraId="0CDDB126" w14:textId="24C884DE" w:rsidR="006D71BB" w:rsidRDefault="00C32EB9" w:rsidP="00325F1F">
      <w:pPr>
        <w:spacing w:after="0" w:line="276" w:lineRule="auto"/>
        <w:jc w:val="both"/>
        <w:rPr>
          <w:rFonts w:asciiTheme="majorHAnsi" w:hAnsiTheme="majorHAnsi" w:cstheme="majorHAnsi"/>
          <w:sz w:val="24"/>
          <w:szCs w:val="24"/>
          <w:lang w:val="ro-MD"/>
        </w:rPr>
      </w:pPr>
      <w:r w:rsidRPr="00921938">
        <w:rPr>
          <w:rFonts w:asciiTheme="majorHAnsi" w:eastAsia="Times New Roman" w:hAnsiTheme="majorHAnsi" w:cstheme="majorHAnsi"/>
          <w:b/>
          <w:sz w:val="24"/>
          <w:szCs w:val="24"/>
          <w:lang w:val="ro-MD"/>
        </w:rPr>
        <w:lastRenderedPageBreak/>
        <w:t>5</w:t>
      </w:r>
      <w:r w:rsidR="00EE3039" w:rsidRPr="00921938">
        <w:rPr>
          <w:rFonts w:asciiTheme="majorHAnsi" w:eastAsia="Times New Roman" w:hAnsiTheme="majorHAnsi" w:cstheme="majorHAnsi"/>
          <w:b/>
          <w:sz w:val="24"/>
          <w:szCs w:val="24"/>
          <w:lang w:val="ro-MD"/>
        </w:rPr>
        <w:t>.2</w:t>
      </w:r>
      <w:r w:rsidRPr="00921938">
        <w:rPr>
          <w:rFonts w:asciiTheme="majorHAnsi" w:eastAsia="Times New Roman" w:hAnsiTheme="majorHAnsi" w:cstheme="majorHAnsi"/>
          <w:b/>
          <w:sz w:val="24"/>
          <w:szCs w:val="24"/>
          <w:lang w:val="ro-MD"/>
        </w:rPr>
        <w:t>1</w:t>
      </w:r>
      <w:r w:rsidR="00EE3039" w:rsidRPr="00921938">
        <w:rPr>
          <w:rFonts w:asciiTheme="majorHAnsi" w:eastAsia="Times New Roman" w:hAnsiTheme="majorHAnsi" w:cstheme="majorHAnsi"/>
          <w:b/>
          <w:sz w:val="24"/>
          <w:szCs w:val="24"/>
          <w:lang w:val="ro-MD"/>
        </w:rPr>
        <w:t>.</w:t>
      </w:r>
      <w:r w:rsidR="00EE3039" w:rsidRPr="00921938">
        <w:rPr>
          <w:rFonts w:asciiTheme="majorHAnsi" w:eastAsia="Times New Roman" w:hAnsiTheme="majorHAnsi" w:cstheme="majorHAnsi"/>
          <w:sz w:val="24"/>
          <w:szCs w:val="24"/>
          <w:lang w:val="ro-MD"/>
        </w:rPr>
        <w:t xml:space="preserve"> </w:t>
      </w:r>
      <w:r w:rsidR="009546D1" w:rsidRPr="00921938">
        <w:rPr>
          <w:rFonts w:asciiTheme="majorHAnsi" w:hAnsiTheme="majorHAnsi" w:cstheme="majorHAnsi"/>
          <w:sz w:val="24"/>
          <w:szCs w:val="24"/>
          <w:lang w:val="ro-MD"/>
        </w:rPr>
        <w:t>Pe parcursul anului 2018</w:t>
      </w:r>
      <w:r w:rsidR="006D71BB">
        <w:rPr>
          <w:rFonts w:asciiTheme="majorHAnsi" w:hAnsiTheme="majorHAnsi" w:cstheme="majorHAnsi"/>
          <w:sz w:val="24"/>
          <w:szCs w:val="24"/>
          <w:lang w:val="ro-MD"/>
        </w:rPr>
        <w:t>,</w:t>
      </w:r>
      <w:r w:rsidR="009546D1" w:rsidRPr="00921938">
        <w:rPr>
          <w:rFonts w:asciiTheme="majorHAnsi" w:hAnsiTheme="majorHAnsi" w:cstheme="majorHAnsi"/>
          <w:sz w:val="24"/>
          <w:szCs w:val="24"/>
          <w:lang w:val="ro-MD"/>
        </w:rPr>
        <w:t xml:space="preserve"> potrivit pct.3 și Anexei nr.1 din HG nr.806 din 01.08.2018</w:t>
      </w:r>
      <w:r w:rsidR="009546D1" w:rsidRPr="00921938">
        <w:rPr>
          <w:rStyle w:val="FootnoteReference"/>
          <w:rFonts w:asciiTheme="majorHAnsi" w:hAnsiTheme="majorHAnsi" w:cstheme="majorHAnsi"/>
          <w:sz w:val="24"/>
          <w:szCs w:val="24"/>
          <w:lang w:val="ro-MD"/>
        </w:rPr>
        <w:footnoteReference w:id="74"/>
      </w:r>
      <w:r w:rsidR="006D71BB">
        <w:rPr>
          <w:rFonts w:asciiTheme="majorHAnsi" w:hAnsiTheme="majorHAnsi" w:cstheme="majorHAnsi"/>
          <w:sz w:val="24"/>
          <w:szCs w:val="24"/>
          <w:lang w:val="ro-MD"/>
        </w:rPr>
        <w:t>,</w:t>
      </w:r>
      <w:r w:rsidR="009546D1" w:rsidRPr="00921938">
        <w:rPr>
          <w:rFonts w:asciiTheme="majorHAnsi" w:hAnsiTheme="majorHAnsi" w:cstheme="majorHAnsi"/>
          <w:sz w:val="24"/>
          <w:szCs w:val="24"/>
          <w:lang w:val="ro-MD"/>
        </w:rPr>
        <w:t xml:space="preserve"> în termen de 30</w:t>
      </w:r>
      <w:r w:rsidR="006D71BB">
        <w:rPr>
          <w:rFonts w:asciiTheme="majorHAnsi" w:hAnsiTheme="majorHAnsi" w:cstheme="majorHAnsi"/>
          <w:sz w:val="24"/>
          <w:szCs w:val="24"/>
          <w:lang w:val="ro-MD"/>
        </w:rPr>
        <w:t xml:space="preserve"> de</w:t>
      </w:r>
      <w:r w:rsidR="009546D1" w:rsidRPr="00921938">
        <w:rPr>
          <w:rFonts w:asciiTheme="majorHAnsi" w:hAnsiTheme="majorHAnsi" w:cstheme="majorHAnsi"/>
          <w:sz w:val="24"/>
          <w:szCs w:val="24"/>
          <w:lang w:val="ro-MD"/>
        </w:rPr>
        <w:t xml:space="preserve"> zile de la data publicării hotărârii în cauză (10.08.2018) urmau a fi transmise către APP 17 instituții (15 întreprinderi de stat și 2 societăți pe acțiuni)</w:t>
      </w:r>
      <w:r w:rsidR="009546D1" w:rsidRPr="00921938">
        <w:rPr>
          <w:rStyle w:val="FootnoteReference"/>
          <w:rFonts w:asciiTheme="majorHAnsi" w:hAnsiTheme="majorHAnsi" w:cstheme="majorHAnsi"/>
          <w:sz w:val="24"/>
          <w:szCs w:val="24"/>
          <w:lang w:val="ro-MD"/>
        </w:rPr>
        <w:footnoteReference w:id="75"/>
      </w:r>
      <w:r w:rsidR="009546D1" w:rsidRPr="00921938">
        <w:rPr>
          <w:rFonts w:asciiTheme="majorHAnsi" w:hAnsiTheme="majorHAnsi" w:cstheme="majorHAnsi"/>
          <w:sz w:val="24"/>
          <w:szCs w:val="24"/>
          <w:lang w:val="ro-MD"/>
        </w:rPr>
        <w:t xml:space="preserve"> din subordinea MECC. Însă, nerespectând prevederile pct.3 din HG menționată și pct.5 din Anexa nr.1 l</w:t>
      </w:r>
      <w:r w:rsidR="006D71BB">
        <w:rPr>
          <w:rFonts w:asciiTheme="majorHAnsi" w:hAnsiTheme="majorHAnsi" w:cstheme="majorHAnsi"/>
          <w:sz w:val="24"/>
          <w:szCs w:val="24"/>
          <w:lang w:val="ro-MD"/>
        </w:rPr>
        <w:t>a</w:t>
      </w:r>
      <w:r w:rsidR="009546D1" w:rsidRPr="00921938">
        <w:rPr>
          <w:rFonts w:asciiTheme="majorHAnsi" w:hAnsiTheme="majorHAnsi" w:cstheme="majorHAnsi"/>
          <w:sz w:val="24"/>
          <w:szCs w:val="24"/>
          <w:lang w:val="ro-MD"/>
        </w:rPr>
        <w:t xml:space="preserve"> HG nr.901 din 31.12.2015</w:t>
      </w:r>
      <w:r w:rsidR="009546D1" w:rsidRPr="00921938">
        <w:rPr>
          <w:rStyle w:val="FootnoteReference"/>
          <w:rFonts w:asciiTheme="majorHAnsi" w:hAnsiTheme="majorHAnsi" w:cstheme="majorHAnsi"/>
          <w:sz w:val="24"/>
          <w:szCs w:val="24"/>
          <w:lang w:val="ro-MD"/>
        </w:rPr>
        <w:footnoteReference w:id="76"/>
      </w:r>
      <w:r w:rsidR="009546D1" w:rsidRPr="00921938">
        <w:rPr>
          <w:rFonts w:asciiTheme="majorHAnsi" w:hAnsiTheme="majorHAnsi" w:cstheme="majorHAnsi"/>
          <w:sz w:val="24"/>
          <w:szCs w:val="24"/>
          <w:lang w:val="ro-MD"/>
        </w:rPr>
        <w:t>, MECC până în prezent nu le-a transmis către APP printr-un act de transmitere-predare și/sau factură. Astfel, menționăm că atât APP</w:t>
      </w:r>
      <w:r w:rsidR="006D71BB">
        <w:rPr>
          <w:rFonts w:asciiTheme="majorHAnsi" w:hAnsiTheme="majorHAnsi" w:cstheme="majorHAnsi"/>
          <w:sz w:val="24"/>
          <w:szCs w:val="24"/>
          <w:lang w:val="ro-MD"/>
        </w:rPr>
        <w:t>,</w:t>
      </w:r>
      <w:r w:rsidR="009546D1" w:rsidRPr="00921938">
        <w:rPr>
          <w:rFonts w:asciiTheme="majorHAnsi" w:hAnsiTheme="majorHAnsi" w:cstheme="majorHAnsi"/>
          <w:sz w:val="24"/>
          <w:szCs w:val="24"/>
          <w:lang w:val="ro-MD"/>
        </w:rPr>
        <w:t xml:space="preserve"> cât și MECC au reflectat în evidența contabilă și au raportat la finele anului 2019 aportul în capitalul social la 10 instituții</w:t>
      </w:r>
      <w:r w:rsidR="009546D1" w:rsidRPr="00921938">
        <w:rPr>
          <w:rStyle w:val="FootnoteReference"/>
          <w:rFonts w:asciiTheme="majorHAnsi" w:hAnsiTheme="majorHAnsi" w:cstheme="majorHAnsi"/>
          <w:sz w:val="24"/>
          <w:szCs w:val="24"/>
          <w:lang w:val="ro-MD"/>
        </w:rPr>
        <w:footnoteReference w:id="77"/>
      </w:r>
      <w:r w:rsidR="009546D1" w:rsidRPr="00921938">
        <w:rPr>
          <w:rFonts w:asciiTheme="majorHAnsi" w:hAnsiTheme="majorHAnsi" w:cstheme="majorHAnsi"/>
          <w:sz w:val="24"/>
          <w:szCs w:val="24"/>
          <w:lang w:val="ro-MD"/>
        </w:rPr>
        <w:t xml:space="preserve"> în valoare de </w:t>
      </w:r>
      <w:r w:rsidR="009546D1" w:rsidRPr="00921938">
        <w:rPr>
          <w:rFonts w:asciiTheme="majorHAnsi" w:hAnsiTheme="majorHAnsi" w:cstheme="majorHAnsi"/>
          <w:bCs/>
          <w:sz w:val="24"/>
          <w:szCs w:val="24"/>
          <w:lang w:val="ro-MD"/>
        </w:rPr>
        <w:t>159,26 mil.lei,</w:t>
      </w:r>
      <w:r w:rsidR="009546D1" w:rsidRPr="00921938">
        <w:rPr>
          <w:rFonts w:asciiTheme="majorHAnsi" w:hAnsiTheme="majorHAnsi" w:cstheme="majorHAnsi"/>
          <w:sz w:val="24"/>
          <w:szCs w:val="24"/>
          <w:lang w:val="ro-MD"/>
        </w:rPr>
        <w:t xml:space="preserve"> </w:t>
      </w:r>
      <w:r w:rsidR="009546D1" w:rsidRPr="00921938">
        <w:rPr>
          <w:rFonts w:asciiTheme="majorHAnsi" w:hAnsiTheme="majorHAnsi" w:cstheme="majorHAnsi"/>
          <w:i/>
          <w:iCs/>
          <w:sz w:val="24"/>
          <w:szCs w:val="24"/>
          <w:lang w:val="ro-MD"/>
        </w:rPr>
        <w:t xml:space="preserve">ceea ce a dus la majorarea valorii activelor proprietate de stat în </w:t>
      </w:r>
      <w:r w:rsidR="006D71BB" w:rsidRPr="00921938">
        <w:rPr>
          <w:rFonts w:asciiTheme="majorHAnsi" w:hAnsiTheme="majorHAnsi" w:cstheme="majorHAnsi"/>
          <w:i/>
          <w:iCs/>
          <w:sz w:val="24"/>
          <w:szCs w:val="24"/>
          <w:lang w:val="ro-MD"/>
        </w:rPr>
        <w:t>ace</w:t>
      </w:r>
      <w:r w:rsidR="006D71BB">
        <w:rPr>
          <w:rFonts w:asciiTheme="majorHAnsi" w:hAnsiTheme="majorHAnsi" w:cstheme="majorHAnsi"/>
          <w:i/>
          <w:iCs/>
          <w:sz w:val="24"/>
          <w:szCs w:val="24"/>
          <w:lang w:val="ro-MD"/>
        </w:rPr>
        <w:t>e</w:t>
      </w:r>
      <w:r w:rsidR="006D71BB" w:rsidRPr="00921938">
        <w:rPr>
          <w:rFonts w:asciiTheme="majorHAnsi" w:hAnsiTheme="majorHAnsi" w:cstheme="majorHAnsi"/>
          <w:i/>
          <w:iCs/>
          <w:sz w:val="24"/>
          <w:szCs w:val="24"/>
          <w:lang w:val="ro-MD"/>
        </w:rPr>
        <w:t xml:space="preserve">ași </w:t>
      </w:r>
      <w:r w:rsidR="009546D1" w:rsidRPr="00921938">
        <w:rPr>
          <w:rFonts w:asciiTheme="majorHAnsi" w:hAnsiTheme="majorHAnsi" w:cstheme="majorHAnsi"/>
          <w:i/>
          <w:iCs/>
          <w:sz w:val="24"/>
          <w:szCs w:val="24"/>
          <w:lang w:val="ro-MD"/>
        </w:rPr>
        <w:t>mărime.</w:t>
      </w:r>
      <w:r w:rsidR="009546D1" w:rsidRPr="00921938">
        <w:rPr>
          <w:rFonts w:asciiTheme="majorHAnsi" w:hAnsiTheme="majorHAnsi" w:cstheme="majorHAnsi"/>
          <w:sz w:val="24"/>
          <w:szCs w:val="24"/>
          <w:lang w:val="ro-MD"/>
        </w:rPr>
        <w:t xml:space="preserve"> </w:t>
      </w:r>
    </w:p>
    <w:p w14:paraId="56252291" w14:textId="3B4EEC1C" w:rsidR="009546D1" w:rsidRPr="00921938" w:rsidRDefault="009546D1"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sz w:val="24"/>
          <w:szCs w:val="24"/>
          <w:lang w:val="ro-MD"/>
        </w:rPr>
        <w:t>Menționăm că aportul în capitalul SA „Circul din Chișinău”</w:t>
      </w:r>
      <w:r w:rsidR="006D71BB">
        <w:rPr>
          <w:rFonts w:asciiTheme="majorHAnsi" w:hAnsiTheme="majorHAnsi" w:cstheme="majorHAnsi"/>
          <w:sz w:val="24"/>
          <w:szCs w:val="24"/>
          <w:lang w:val="ro-MD"/>
        </w:rPr>
        <w:t>,</w:t>
      </w:r>
      <w:r w:rsidRPr="00921938">
        <w:rPr>
          <w:rFonts w:asciiTheme="majorHAnsi" w:hAnsiTheme="majorHAnsi" w:cstheme="majorHAnsi"/>
          <w:sz w:val="24"/>
          <w:szCs w:val="24"/>
          <w:lang w:val="ro-MD"/>
        </w:rPr>
        <w:t xml:space="preserve"> în sumă de</w:t>
      </w:r>
      <w:r w:rsidRPr="00921938">
        <w:rPr>
          <w:rFonts w:asciiTheme="majorHAnsi" w:hAnsiTheme="majorHAnsi" w:cstheme="majorHAnsi"/>
          <w:bCs/>
          <w:iCs/>
          <w:sz w:val="24"/>
          <w:szCs w:val="24"/>
          <w:lang w:val="ro-MD"/>
        </w:rPr>
        <w:t xml:space="preserve"> 58,13 mil.lei</w:t>
      </w:r>
      <w:r w:rsidRPr="00921938">
        <w:rPr>
          <w:rFonts w:asciiTheme="majorHAnsi" w:hAnsiTheme="majorHAnsi" w:cstheme="majorHAnsi"/>
          <w:sz w:val="24"/>
          <w:szCs w:val="24"/>
          <w:lang w:val="ro-MD"/>
        </w:rPr>
        <w:t>, a</w:t>
      </w:r>
      <w:r w:rsidR="006D71BB">
        <w:rPr>
          <w:rFonts w:asciiTheme="majorHAnsi" w:hAnsiTheme="majorHAnsi" w:cstheme="majorHAnsi"/>
          <w:sz w:val="24"/>
          <w:szCs w:val="24"/>
          <w:lang w:val="ro-MD"/>
        </w:rPr>
        <w:t>l</w:t>
      </w:r>
      <w:r w:rsidRPr="00921938">
        <w:rPr>
          <w:rFonts w:asciiTheme="majorHAnsi" w:hAnsiTheme="majorHAnsi" w:cstheme="majorHAnsi"/>
          <w:sz w:val="24"/>
          <w:szCs w:val="24"/>
          <w:lang w:val="ro-MD"/>
        </w:rPr>
        <w:t xml:space="preserve"> cărei fondator este MECC, </w:t>
      </w:r>
      <w:r w:rsidR="006D71BB">
        <w:rPr>
          <w:rFonts w:asciiTheme="majorHAnsi" w:hAnsiTheme="majorHAnsi" w:cstheme="majorHAnsi"/>
          <w:sz w:val="24"/>
          <w:szCs w:val="24"/>
          <w:lang w:val="ro-MD"/>
        </w:rPr>
        <w:t xml:space="preserve">și </w:t>
      </w:r>
      <w:r w:rsidRPr="00921938">
        <w:rPr>
          <w:rFonts w:asciiTheme="majorHAnsi" w:hAnsiTheme="majorHAnsi" w:cstheme="majorHAnsi"/>
          <w:sz w:val="24"/>
          <w:szCs w:val="24"/>
          <w:lang w:val="ro-MD"/>
        </w:rPr>
        <w:t>care a fuzionat cu OCT „Moldova Concert” în mai 2020, este reflectat în evidența contabilă a APP și MECC, deci</w:t>
      </w:r>
      <w:r w:rsidRPr="00921938">
        <w:rPr>
          <w:rFonts w:asciiTheme="majorHAnsi" w:hAnsiTheme="majorHAnsi" w:cstheme="majorHAnsi"/>
          <w:bCs/>
          <w:iCs/>
          <w:sz w:val="24"/>
          <w:szCs w:val="24"/>
          <w:lang w:val="ro-MD"/>
        </w:rPr>
        <w:t xml:space="preserve"> activele APP sunt majorate cu 58,13 mil.lei</w:t>
      </w:r>
      <w:r w:rsidRPr="00921938">
        <w:rPr>
          <w:rFonts w:asciiTheme="majorHAnsi" w:hAnsiTheme="majorHAnsi" w:cstheme="majorHAnsi"/>
          <w:sz w:val="24"/>
          <w:szCs w:val="24"/>
          <w:lang w:val="ro-MD"/>
        </w:rPr>
        <w:t xml:space="preserve">. </w:t>
      </w:r>
    </w:p>
    <w:p w14:paraId="61B29333" w14:textId="39CFA27B" w:rsidR="00844A15" w:rsidRPr="00870B63" w:rsidRDefault="00844A15" w:rsidP="00325F1F">
      <w:pPr>
        <w:tabs>
          <w:tab w:val="left" w:pos="0"/>
        </w:tabs>
        <w:spacing w:after="0" w:line="276" w:lineRule="auto"/>
        <w:contextualSpacing/>
        <w:jc w:val="both"/>
        <w:rPr>
          <w:rFonts w:asciiTheme="majorHAnsi" w:hAnsiTheme="majorHAnsi" w:cstheme="majorHAnsi"/>
          <w:sz w:val="24"/>
          <w:szCs w:val="24"/>
          <w:lang w:val="ro-MD"/>
        </w:rPr>
      </w:pPr>
      <w:r w:rsidRPr="00870B63">
        <w:rPr>
          <w:rFonts w:asciiTheme="majorHAnsi" w:hAnsiTheme="majorHAnsi" w:cstheme="majorHAnsi"/>
          <w:sz w:val="24"/>
          <w:szCs w:val="24"/>
          <w:lang w:val="ro-MD"/>
        </w:rPr>
        <w:t>De</w:t>
      </w:r>
      <w:r w:rsidR="00607C4A" w:rsidRPr="00870B63">
        <w:rPr>
          <w:rFonts w:asciiTheme="majorHAnsi" w:hAnsiTheme="majorHAnsi" w:cstheme="majorHAnsi"/>
          <w:sz w:val="24"/>
          <w:szCs w:val="24"/>
          <w:lang w:val="ro-MD"/>
        </w:rPr>
        <w:t>și</w:t>
      </w:r>
      <w:r w:rsidRPr="00870B63">
        <w:rPr>
          <w:rFonts w:asciiTheme="majorHAnsi" w:hAnsiTheme="majorHAnsi" w:cstheme="majorHAnsi"/>
          <w:sz w:val="24"/>
          <w:szCs w:val="24"/>
          <w:lang w:val="ro-MD"/>
        </w:rPr>
        <w:t xml:space="preserve"> </w:t>
      </w:r>
      <w:r w:rsidR="00607C4A" w:rsidRPr="00870B63">
        <w:rPr>
          <w:rFonts w:asciiTheme="majorHAnsi" w:hAnsiTheme="majorHAnsi" w:cstheme="majorHAnsi"/>
          <w:sz w:val="24"/>
          <w:szCs w:val="24"/>
          <w:lang w:val="ro-MD"/>
        </w:rPr>
        <w:t xml:space="preserve">potrivit HG nr.529 din 06.11.2019, SRL „Arena Națională” a fost transmisă, cu titlu gratuit, din administrarea MECC în administrarea APP, </w:t>
      </w:r>
      <w:r w:rsidRPr="00870B63">
        <w:rPr>
          <w:rFonts w:asciiTheme="majorHAnsi" w:hAnsiTheme="majorHAnsi" w:cstheme="majorHAnsi"/>
          <w:sz w:val="24"/>
          <w:szCs w:val="24"/>
          <w:lang w:val="ro-MD"/>
        </w:rPr>
        <w:t>MECC nu a transmis APP cheltuielile aferente elaborării studiului de fezabilitate cu privire la construcția Arenei sportive, în sumă de 80,0 mii lei</w:t>
      </w:r>
      <w:r w:rsidR="00A150DE" w:rsidRPr="00870B63">
        <w:rPr>
          <w:rStyle w:val="FootnoteReference"/>
          <w:rFonts w:asciiTheme="majorHAnsi" w:hAnsiTheme="majorHAnsi" w:cstheme="majorHAnsi"/>
          <w:b/>
          <w:bCs/>
          <w:i/>
          <w:iCs/>
          <w:sz w:val="24"/>
          <w:szCs w:val="24"/>
          <w:lang w:val="ro-MD"/>
        </w:rPr>
        <w:footnoteReference w:id="78"/>
      </w:r>
      <w:r w:rsidR="00607C4A" w:rsidRPr="00870B63">
        <w:rPr>
          <w:rFonts w:asciiTheme="majorHAnsi" w:hAnsiTheme="majorHAnsi" w:cstheme="majorHAnsi"/>
          <w:sz w:val="24"/>
          <w:szCs w:val="24"/>
          <w:lang w:val="ro-MD"/>
        </w:rPr>
        <w:t>, care conform recomandării auditului precedent urmau a fi transmise în capitalul SRL „Arena Națională”</w:t>
      </w:r>
      <w:r w:rsidR="00A150DE" w:rsidRPr="00870B63">
        <w:rPr>
          <w:rFonts w:asciiTheme="majorHAnsi" w:hAnsiTheme="majorHAnsi" w:cstheme="majorHAnsi"/>
          <w:sz w:val="24"/>
          <w:szCs w:val="24"/>
          <w:lang w:val="ro-MD"/>
        </w:rPr>
        <w:t>.</w:t>
      </w:r>
    </w:p>
    <w:p w14:paraId="5033ECDD" w14:textId="013CA7C9" w:rsidR="00E21373" w:rsidRPr="00921938" w:rsidRDefault="00C32EB9" w:rsidP="00325F1F">
      <w:pPr>
        <w:spacing w:after="0" w:line="276" w:lineRule="auto"/>
        <w:jc w:val="both"/>
        <w:rPr>
          <w:rFonts w:asciiTheme="majorHAnsi" w:hAnsiTheme="majorHAnsi" w:cstheme="majorHAnsi"/>
          <w:color w:val="000000"/>
          <w:sz w:val="24"/>
          <w:szCs w:val="24"/>
          <w:lang w:val="ro-MD"/>
        </w:rPr>
      </w:pPr>
      <w:r w:rsidRPr="00921938">
        <w:rPr>
          <w:rFonts w:asciiTheme="majorHAnsi" w:hAnsiTheme="majorHAnsi" w:cstheme="majorHAnsi"/>
          <w:b/>
          <w:bCs/>
          <w:sz w:val="24"/>
          <w:szCs w:val="24"/>
          <w:lang w:val="ro-MD"/>
        </w:rPr>
        <w:t>5</w:t>
      </w:r>
      <w:r w:rsidR="00EE3039" w:rsidRPr="00921938">
        <w:rPr>
          <w:rFonts w:asciiTheme="majorHAnsi" w:hAnsiTheme="majorHAnsi" w:cstheme="majorHAnsi"/>
          <w:b/>
          <w:bCs/>
          <w:sz w:val="24"/>
          <w:szCs w:val="24"/>
          <w:lang w:val="ro-MD"/>
        </w:rPr>
        <w:t>.2</w:t>
      </w:r>
      <w:r w:rsidRPr="00921938">
        <w:rPr>
          <w:rFonts w:asciiTheme="majorHAnsi" w:hAnsiTheme="majorHAnsi" w:cstheme="majorHAnsi"/>
          <w:b/>
          <w:bCs/>
          <w:sz w:val="24"/>
          <w:szCs w:val="24"/>
          <w:lang w:val="ro-MD"/>
        </w:rPr>
        <w:t>2</w:t>
      </w:r>
      <w:r w:rsidR="00EE3039" w:rsidRPr="00921938">
        <w:rPr>
          <w:rFonts w:asciiTheme="majorHAnsi" w:hAnsiTheme="majorHAnsi" w:cstheme="majorHAnsi"/>
          <w:b/>
          <w:bCs/>
          <w:sz w:val="24"/>
          <w:szCs w:val="24"/>
          <w:lang w:val="ro-MD"/>
        </w:rPr>
        <w:t>.</w:t>
      </w:r>
      <w:r w:rsidR="00EE3039" w:rsidRPr="00921938">
        <w:rPr>
          <w:rFonts w:asciiTheme="majorHAnsi" w:hAnsiTheme="majorHAnsi" w:cstheme="majorHAnsi"/>
          <w:sz w:val="24"/>
          <w:szCs w:val="24"/>
          <w:lang w:val="ro-MD"/>
        </w:rPr>
        <w:t xml:space="preserve"> </w:t>
      </w:r>
      <w:r w:rsidR="0070752E" w:rsidRPr="00921938">
        <w:rPr>
          <w:rFonts w:asciiTheme="majorHAnsi" w:eastAsia="Times New Roman" w:hAnsiTheme="majorHAnsi" w:cstheme="majorHAnsi"/>
          <w:sz w:val="24"/>
          <w:szCs w:val="24"/>
          <w:lang w:val="ro-MD"/>
        </w:rPr>
        <w:t>Se ia act că, pe parcursul misiunii de audit</w:t>
      </w:r>
      <w:r w:rsidR="007A36F9" w:rsidRPr="00921938">
        <w:rPr>
          <w:rFonts w:asciiTheme="majorHAnsi" w:eastAsia="Times New Roman" w:hAnsiTheme="majorHAnsi" w:cstheme="majorHAnsi"/>
          <w:sz w:val="24"/>
          <w:szCs w:val="24"/>
          <w:lang w:val="ro-MD"/>
        </w:rPr>
        <w:t>:</w:t>
      </w:r>
      <w:r w:rsidR="00430682" w:rsidRPr="00921938">
        <w:rPr>
          <w:rFonts w:asciiTheme="majorHAnsi" w:eastAsia="Times New Roman" w:hAnsiTheme="majorHAnsi" w:cstheme="majorHAnsi"/>
          <w:sz w:val="24"/>
          <w:szCs w:val="24"/>
          <w:lang w:val="ro-MD"/>
        </w:rPr>
        <w:t xml:space="preserve"> MECC și instituțiile din subordine</w:t>
      </w:r>
      <w:r w:rsidR="00430682" w:rsidRPr="00921938">
        <w:rPr>
          <w:rStyle w:val="FootnoteReference"/>
          <w:rFonts w:asciiTheme="majorHAnsi" w:eastAsia="Times New Roman" w:hAnsiTheme="majorHAnsi" w:cstheme="majorHAnsi"/>
          <w:sz w:val="24"/>
          <w:szCs w:val="24"/>
          <w:lang w:val="ro-MD"/>
        </w:rPr>
        <w:footnoteReference w:id="79"/>
      </w:r>
      <w:r w:rsidR="00430682" w:rsidRPr="00921938">
        <w:rPr>
          <w:rFonts w:asciiTheme="majorHAnsi" w:eastAsia="Times New Roman" w:hAnsiTheme="majorHAnsi" w:cstheme="majorHAnsi"/>
          <w:sz w:val="24"/>
          <w:szCs w:val="24"/>
          <w:lang w:val="ro-MD"/>
        </w:rPr>
        <w:t xml:space="preserve"> au efectuat corectări financiar-contabile de </w:t>
      </w:r>
      <w:r w:rsidR="0039660A">
        <w:rPr>
          <w:rFonts w:asciiTheme="majorHAnsi" w:eastAsia="Times New Roman" w:hAnsiTheme="majorHAnsi" w:cstheme="majorHAnsi"/>
          <w:sz w:val="24"/>
          <w:szCs w:val="24"/>
          <w:lang w:val="ro-MD"/>
        </w:rPr>
        <w:t>49,6</w:t>
      </w:r>
      <w:r w:rsidR="00430682" w:rsidRPr="00921938">
        <w:rPr>
          <w:rFonts w:asciiTheme="majorHAnsi" w:eastAsia="Times New Roman" w:hAnsiTheme="majorHAnsi" w:cstheme="majorHAnsi"/>
          <w:sz w:val="24"/>
          <w:szCs w:val="24"/>
          <w:lang w:val="ro-MD"/>
        </w:rPr>
        <w:t>4 mil.lei</w:t>
      </w:r>
      <w:r w:rsidR="007A36F9" w:rsidRPr="00921938">
        <w:rPr>
          <w:rFonts w:asciiTheme="majorHAnsi" w:eastAsia="Times New Roman" w:hAnsiTheme="majorHAnsi" w:cstheme="majorHAnsi"/>
          <w:sz w:val="24"/>
          <w:szCs w:val="24"/>
          <w:lang w:val="ro-MD"/>
        </w:rPr>
        <w:t xml:space="preserve">; </w:t>
      </w:r>
      <w:r w:rsidR="008002B3">
        <w:rPr>
          <w:rFonts w:asciiTheme="majorHAnsi" w:hAnsiTheme="majorHAnsi" w:cstheme="majorHAnsi"/>
          <w:color w:val="000000"/>
          <w:sz w:val="24"/>
          <w:szCs w:val="24"/>
          <w:lang w:val="ro-MD"/>
        </w:rPr>
        <w:t xml:space="preserve">au </w:t>
      </w:r>
      <w:r w:rsidR="008002B3" w:rsidRPr="00E702C8">
        <w:rPr>
          <w:rFonts w:asciiTheme="majorHAnsi" w:eastAsia="Calibri" w:hAnsiTheme="majorHAnsi" w:cstheme="majorHAnsi"/>
          <w:sz w:val="24"/>
          <w:szCs w:val="24"/>
          <w:lang w:val="ro-MD"/>
        </w:rPr>
        <w:t>format garanții de bună execuție a contractelor de 1,0 mil.lei</w:t>
      </w:r>
      <w:r w:rsidR="008002B3">
        <w:rPr>
          <w:rFonts w:asciiTheme="majorHAnsi" w:eastAsia="Calibri" w:hAnsiTheme="majorHAnsi" w:cstheme="majorHAnsi"/>
          <w:sz w:val="24"/>
          <w:szCs w:val="24"/>
          <w:lang w:val="ro-MD"/>
        </w:rPr>
        <w:t>;</w:t>
      </w:r>
      <w:r w:rsidR="008002B3">
        <w:rPr>
          <w:rFonts w:asciiTheme="majorHAnsi" w:hAnsiTheme="majorHAnsi" w:cstheme="majorHAnsi"/>
          <w:sz w:val="24"/>
          <w:szCs w:val="24"/>
          <w:lang w:val="ro-MD"/>
        </w:rPr>
        <w:t xml:space="preserve"> </w:t>
      </w:r>
      <w:r w:rsidR="004D0E4A">
        <w:rPr>
          <w:rFonts w:asciiTheme="majorHAnsi" w:hAnsiTheme="majorHAnsi" w:cstheme="majorHAnsi"/>
          <w:sz w:val="24"/>
          <w:szCs w:val="24"/>
          <w:lang w:val="ro-MD"/>
        </w:rPr>
        <w:t>p</w:t>
      </w:r>
      <w:r w:rsidR="00FE00CB" w:rsidRPr="00921938">
        <w:rPr>
          <w:rFonts w:asciiTheme="majorHAnsi" w:hAnsiTheme="majorHAnsi" w:cstheme="majorHAnsi"/>
          <w:sz w:val="24"/>
          <w:szCs w:val="24"/>
          <w:lang w:val="ro-MD"/>
        </w:rPr>
        <w:t>rin HG nr.343 din 10.06.2020</w:t>
      </w:r>
      <w:r w:rsidR="004D0E4A">
        <w:rPr>
          <w:rFonts w:asciiTheme="majorHAnsi" w:hAnsiTheme="majorHAnsi" w:cstheme="majorHAnsi"/>
          <w:sz w:val="24"/>
          <w:szCs w:val="24"/>
          <w:lang w:val="ro-MD"/>
        </w:rPr>
        <w:t>,</w:t>
      </w:r>
      <w:r w:rsidR="00FE00CB" w:rsidRPr="00921938">
        <w:rPr>
          <w:rFonts w:asciiTheme="majorHAnsi" w:hAnsiTheme="majorHAnsi" w:cstheme="majorHAnsi"/>
          <w:sz w:val="24"/>
          <w:szCs w:val="24"/>
          <w:lang w:val="ro-MD"/>
        </w:rPr>
        <w:t xml:space="preserve"> a fost aprobată „Metodologia de finanțare bugetară a instituțiilor publice de învățământ superior”, care urmează a fi pusă în aplicare și pilotată de la 01 ianuarie 2021</w:t>
      </w:r>
      <w:r w:rsidR="007A36F9" w:rsidRPr="00921938">
        <w:rPr>
          <w:rFonts w:asciiTheme="majorHAnsi" w:hAnsiTheme="majorHAnsi" w:cstheme="majorHAnsi"/>
          <w:sz w:val="24"/>
          <w:szCs w:val="24"/>
          <w:lang w:val="ro-MD"/>
        </w:rPr>
        <w:t xml:space="preserve">; </w:t>
      </w:r>
      <w:r w:rsidR="00FE00CB" w:rsidRPr="00921938">
        <w:rPr>
          <w:rFonts w:asciiTheme="majorHAnsi" w:hAnsiTheme="majorHAnsi" w:cstheme="majorHAnsi"/>
          <w:sz w:val="24"/>
          <w:szCs w:val="24"/>
          <w:lang w:val="ro-MD"/>
        </w:rPr>
        <w:t xml:space="preserve">US Comrat </w:t>
      </w:r>
      <w:r w:rsidR="00430682" w:rsidRPr="00921938">
        <w:rPr>
          <w:rFonts w:asciiTheme="majorHAnsi" w:hAnsiTheme="majorHAnsi" w:cstheme="majorHAnsi"/>
          <w:sz w:val="24"/>
          <w:szCs w:val="24"/>
          <w:lang w:val="ro-MD"/>
        </w:rPr>
        <w:t xml:space="preserve">și </w:t>
      </w:r>
      <w:r w:rsidR="00430682" w:rsidRPr="00921938">
        <w:rPr>
          <w:rFonts w:asciiTheme="majorHAnsi" w:hAnsiTheme="majorHAnsi" w:cstheme="majorHAnsi"/>
          <w:color w:val="000000"/>
          <w:sz w:val="24"/>
          <w:szCs w:val="24"/>
          <w:lang w:val="ro-MD"/>
        </w:rPr>
        <w:t>5 instituții profesional</w:t>
      </w:r>
      <w:r w:rsidR="004D0E4A">
        <w:rPr>
          <w:rFonts w:asciiTheme="majorHAnsi" w:hAnsiTheme="majorHAnsi" w:cstheme="majorHAnsi"/>
          <w:color w:val="000000"/>
          <w:sz w:val="24"/>
          <w:szCs w:val="24"/>
          <w:lang w:val="ro-MD"/>
        </w:rPr>
        <w:t>-</w:t>
      </w:r>
      <w:r w:rsidR="00430682" w:rsidRPr="00921938">
        <w:rPr>
          <w:rFonts w:asciiTheme="majorHAnsi" w:hAnsiTheme="majorHAnsi" w:cstheme="majorHAnsi"/>
          <w:color w:val="000000"/>
          <w:sz w:val="24"/>
          <w:szCs w:val="24"/>
          <w:lang w:val="ro-MD"/>
        </w:rPr>
        <w:t>tehnice</w:t>
      </w:r>
      <w:r w:rsidR="00430682" w:rsidRPr="00921938">
        <w:rPr>
          <w:rStyle w:val="FootnoteReference"/>
          <w:rFonts w:asciiTheme="majorHAnsi" w:hAnsiTheme="majorHAnsi" w:cstheme="majorHAnsi"/>
          <w:color w:val="000000"/>
          <w:sz w:val="24"/>
          <w:szCs w:val="24"/>
          <w:lang w:val="ro-MD"/>
        </w:rPr>
        <w:footnoteReference w:id="80"/>
      </w:r>
      <w:r w:rsidR="00430682" w:rsidRPr="00921938">
        <w:rPr>
          <w:rFonts w:asciiTheme="majorHAnsi" w:hAnsiTheme="majorHAnsi" w:cstheme="majorHAnsi"/>
          <w:color w:val="000000"/>
          <w:sz w:val="24"/>
          <w:szCs w:val="24"/>
          <w:lang w:val="ro-MD"/>
        </w:rPr>
        <w:t xml:space="preserve"> </w:t>
      </w:r>
      <w:r w:rsidR="00FE00CB" w:rsidRPr="00921938">
        <w:rPr>
          <w:rFonts w:asciiTheme="majorHAnsi" w:hAnsiTheme="majorHAnsi" w:cstheme="majorHAnsi"/>
          <w:sz w:val="24"/>
          <w:szCs w:val="24"/>
          <w:lang w:val="ro-MD"/>
        </w:rPr>
        <w:t>a</w:t>
      </w:r>
      <w:r w:rsidR="00430682" w:rsidRPr="00921938">
        <w:rPr>
          <w:rFonts w:asciiTheme="majorHAnsi" w:hAnsiTheme="majorHAnsi" w:cstheme="majorHAnsi"/>
          <w:sz w:val="24"/>
          <w:szCs w:val="24"/>
          <w:lang w:val="ro-MD"/>
        </w:rPr>
        <w:t>u</w:t>
      </w:r>
      <w:r w:rsidR="00FE00CB" w:rsidRPr="00921938">
        <w:rPr>
          <w:rFonts w:asciiTheme="majorHAnsi" w:hAnsiTheme="majorHAnsi" w:cstheme="majorHAnsi"/>
          <w:sz w:val="24"/>
          <w:szCs w:val="24"/>
          <w:lang w:val="ro-MD"/>
        </w:rPr>
        <w:t xml:space="preserve"> </w:t>
      </w:r>
      <w:r w:rsidR="00430682" w:rsidRPr="00921938">
        <w:rPr>
          <w:rFonts w:asciiTheme="majorHAnsi" w:hAnsiTheme="majorHAnsi" w:cstheme="majorHAnsi"/>
          <w:sz w:val="24"/>
          <w:szCs w:val="24"/>
          <w:lang w:val="ro-MD"/>
        </w:rPr>
        <w:t xml:space="preserve">diminuat </w:t>
      </w:r>
      <w:r w:rsidR="00FE00CB" w:rsidRPr="00921938">
        <w:rPr>
          <w:rFonts w:asciiTheme="majorHAnsi" w:hAnsiTheme="majorHAnsi" w:cstheme="majorHAnsi"/>
          <w:sz w:val="24"/>
          <w:szCs w:val="24"/>
          <w:lang w:val="ro-MD"/>
        </w:rPr>
        <w:t xml:space="preserve">cu </w:t>
      </w:r>
      <w:r w:rsidR="00FE00CB" w:rsidRPr="00921938">
        <w:rPr>
          <w:rFonts w:asciiTheme="majorHAnsi" w:eastAsia="Calibri" w:hAnsiTheme="majorHAnsi" w:cstheme="majorHAnsi"/>
          <w:sz w:val="24"/>
          <w:szCs w:val="24"/>
          <w:lang w:val="ro-MD"/>
        </w:rPr>
        <w:t xml:space="preserve">suma de </w:t>
      </w:r>
      <w:r w:rsidR="00430682" w:rsidRPr="00921938">
        <w:rPr>
          <w:rFonts w:asciiTheme="majorHAnsi" w:eastAsia="Calibri" w:hAnsiTheme="majorHAnsi" w:cstheme="majorHAnsi"/>
          <w:sz w:val="24"/>
          <w:szCs w:val="24"/>
          <w:lang w:val="ro-MD"/>
        </w:rPr>
        <w:t xml:space="preserve">1847,3 </w:t>
      </w:r>
      <w:r w:rsidR="00FE00CB" w:rsidRPr="00921938">
        <w:rPr>
          <w:rFonts w:asciiTheme="majorHAnsi" w:eastAsia="Calibri" w:hAnsiTheme="majorHAnsi" w:cstheme="majorHAnsi"/>
          <w:sz w:val="24"/>
          <w:szCs w:val="24"/>
          <w:lang w:val="ro-MD"/>
        </w:rPr>
        <w:t xml:space="preserve">mii lei cheltuielile pentru </w:t>
      </w:r>
      <w:r w:rsidR="00FE00CB" w:rsidRPr="00921938">
        <w:rPr>
          <w:rFonts w:asciiTheme="majorHAnsi" w:hAnsiTheme="majorHAnsi" w:cstheme="majorHAnsi"/>
          <w:color w:val="000000"/>
          <w:sz w:val="24"/>
          <w:szCs w:val="24"/>
          <w:lang w:val="ro-MD"/>
        </w:rPr>
        <w:t>servicii</w:t>
      </w:r>
      <w:r w:rsidR="004D0E4A">
        <w:rPr>
          <w:rFonts w:asciiTheme="majorHAnsi" w:hAnsiTheme="majorHAnsi" w:cstheme="majorHAnsi"/>
          <w:color w:val="000000"/>
          <w:sz w:val="24"/>
          <w:szCs w:val="24"/>
          <w:lang w:val="ro-MD"/>
        </w:rPr>
        <w:t>le</w:t>
      </w:r>
      <w:r w:rsidR="00FE00CB" w:rsidRPr="00921938">
        <w:rPr>
          <w:rFonts w:asciiTheme="majorHAnsi" w:hAnsiTheme="majorHAnsi" w:cstheme="majorHAnsi"/>
          <w:color w:val="000000"/>
          <w:sz w:val="24"/>
          <w:szCs w:val="24"/>
          <w:lang w:val="ro-MD"/>
        </w:rPr>
        <w:t xml:space="preserve"> educaționale </w:t>
      </w:r>
      <w:r w:rsidR="00FE00CB" w:rsidRPr="00921938">
        <w:rPr>
          <w:rFonts w:asciiTheme="majorHAnsi" w:eastAsia="Calibri" w:hAnsiTheme="majorHAnsi" w:cstheme="majorHAnsi"/>
          <w:sz w:val="24"/>
          <w:szCs w:val="24"/>
          <w:lang w:val="ro-MD"/>
        </w:rPr>
        <w:t>raportate neregulamentar</w:t>
      </w:r>
      <w:r w:rsidR="00FE00CB" w:rsidRPr="00921938">
        <w:rPr>
          <w:rFonts w:asciiTheme="majorHAnsi" w:hAnsiTheme="majorHAnsi" w:cstheme="majorHAnsi"/>
          <w:color w:val="000000"/>
          <w:sz w:val="24"/>
          <w:szCs w:val="24"/>
          <w:lang w:val="ro-MD"/>
        </w:rPr>
        <w:t>.</w:t>
      </w:r>
      <w:r w:rsidR="00E21373" w:rsidRPr="00921938">
        <w:rPr>
          <w:rFonts w:asciiTheme="majorHAnsi" w:hAnsiTheme="majorHAnsi" w:cstheme="majorHAnsi"/>
          <w:color w:val="000000"/>
          <w:sz w:val="24"/>
          <w:szCs w:val="24"/>
          <w:lang w:val="ro-MD"/>
        </w:rPr>
        <w:t xml:space="preserve"> </w:t>
      </w:r>
    </w:p>
    <w:p w14:paraId="274D20B0" w14:textId="7E71A71C" w:rsidR="00185952" w:rsidRPr="00921938" w:rsidRDefault="00185952" w:rsidP="00325F1F">
      <w:pPr>
        <w:spacing w:after="0" w:line="276" w:lineRule="auto"/>
        <w:ind w:right="-47" w:firstLine="567"/>
        <w:jc w:val="both"/>
        <w:rPr>
          <w:rFonts w:asciiTheme="majorHAnsi" w:hAnsiTheme="majorHAnsi" w:cstheme="majorHAnsi"/>
          <w:sz w:val="24"/>
          <w:szCs w:val="24"/>
          <w:lang w:val="ro-MD"/>
        </w:rPr>
      </w:pPr>
    </w:p>
    <w:p w14:paraId="704D29E4" w14:textId="36DE6E3F" w:rsidR="001701DF" w:rsidRPr="00921938" w:rsidRDefault="00956640" w:rsidP="00325F1F">
      <w:pPr>
        <w:pStyle w:val="Heading1"/>
        <w:spacing w:before="0" w:line="276" w:lineRule="auto"/>
        <w:jc w:val="left"/>
        <w:rPr>
          <w:rFonts w:asciiTheme="majorHAnsi" w:eastAsia="Times New Roman" w:hAnsiTheme="majorHAnsi" w:cstheme="majorHAnsi"/>
          <w:sz w:val="24"/>
          <w:szCs w:val="24"/>
          <w:lang w:val="ro-MD"/>
        </w:rPr>
      </w:pPr>
      <w:bookmarkStart w:id="8" w:name="_Toc529544634"/>
      <w:r w:rsidRPr="00921938">
        <w:rPr>
          <w:rFonts w:asciiTheme="majorHAnsi" w:eastAsia="Times New Roman" w:hAnsiTheme="majorHAnsi" w:cstheme="majorHAnsi"/>
          <w:sz w:val="24"/>
          <w:szCs w:val="24"/>
          <w:lang w:val="ro-MD"/>
        </w:rPr>
        <w:t>VI</w:t>
      </w:r>
      <w:r w:rsidR="002176D3" w:rsidRPr="00921938">
        <w:rPr>
          <w:rFonts w:asciiTheme="majorHAnsi" w:eastAsia="Times New Roman" w:hAnsiTheme="majorHAnsi" w:cstheme="majorHAnsi"/>
          <w:sz w:val="24"/>
          <w:szCs w:val="24"/>
          <w:lang w:val="ro-MD"/>
        </w:rPr>
        <w:t xml:space="preserve">. </w:t>
      </w:r>
      <w:r w:rsidR="001701DF" w:rsidRPr="00921938">
        <w:rPr>
          <w:rFonts w:asciiTheme="majorHAnsi" w:eastAsia="Times New Roman" w:hAnsiTheme="majorHAnsi" w:cstheme="majorHAnsi"/>
          <w:sz w:val="24"/>
          <w:szCs w:val="24"/>
          <w:lang w:val="ro-MD"/>
        </w:rPr>
        <w:t xml:space="preserve">RESPONSABILITĂȚILE CONDUCERII PENTRU </w:t>
      </w:r>
      <w:r w:rsidR="00E1788F" w:rsidRPr="00921938">
        <w:rPr>
          <w:rFonts w:asciiTheme="majorHAnsi" w:eastAsia="Times New Roman" w:hAnsiTheme="majorHAnsi" w:cstheme="majorHAnsi"/>
          <w:sz w:val="24"/>
          <w:szCs w:val="24"/>
          <w:lang w:val="ro-MD"/>
        </w:rPr>
        <w:t>RAPOARTE</w:t>
      </w:r>
      <w:r w:rsidR="00E45F15" w:rsidRPr="00921938">
        <w:rPr>
          <w:rFonts w:asciiTheme="majorHAnsi" w:eastAsia="Times New Roman" w:hAnsiTheme="majorHAnsi" w:cstheme="majorHAnsi"/>
          <w:sz w:val="24"/>
          <w:szCs w:val="24"/>
          <w:lang w:val="ro-MD"/>
        </w:rPr>
        <w:t>LE</w:t>
      </w:r>
      <w:r w:rsidR="001701DF" w:rsidRPr="00921938">
        <w:rPr>
          <w:rFonts w:asciiTheme="majorHAnsi" w:eastAsia="Times New Roman" w:hAnsiTheme="majorHAnsi" w:cstheme="majorHAnsi"/>
          <w:sz w:val="24"/>
          <w:szCs w:val="24"/>
          <w:lang w:val="ro-MD"/>
        </w:rPr>
        <w:t xml:space="preserve"> FINANCIARE</w:t>
      </w:r>
      <w:bookmarkEnd w:id="4"/>
      <w:bookmarkEnd w:id="5"/>
      <w:bookmarkEnd w:id="6"/>
      <w:bookmarkEnd w:id="8"/>
    </w:p>
    <w:p w14:paraId="0C334DDE" w14:textId="230863B7" w:rsidR="008D036D" w:rsidRPr="00921938" w:rsidRDefault="008D036D" w:rsidP="00325F1F">
      <w:pPr>
        <w:spacing w:after="0" w:line="276" w:lineRule="auto"/>
        <w:jc w:val="both"/>
        <w:rPr>
          <w:rFonts w:asciiTheme="majorHAnsi" w:hAnsiTheme="majorHAnsi" w:cstheme="majorHAnsi"/>
          <w:sz w:val="24"/>
          <w:szCs w:val="24"/>
          <w:lang w:val="ro-MD"/>
        </w:rPr>
      </w:pPr>
      <w:r w:rsidRPr="00921938">
        <w:rPr>
          <w:rFonts w:asciiTheme="majorHAnsi" w:hAnsiTheme="majorHAnsi" w:cstheme="majorHAnsi"/>
          <w:bCs/>
          <w:sz w:val="24"/>
          <w:szCs w:val="24"/>
          <w:lang w:val="ro-MD"/>
        </w:rPr>
        <w:t>Ministrul</w:t>
      </w:r>
      <w:r w:rsidRPr="00921938">
        <w:rPr>
          <w:rFonts w:asciiTheme="majorHAnsi" w:hAnsiTheme="majorHAnsi" w:cstheme="majorHAnsi"/>
          <w:sz w:val="24"/>
          <w:szCs w:val="24"/>
          <w:lang w:val="ro-MD"/>
        </w:rPr>
        <w:t xml:space="preserve"> </w:t>
      </w:r>
      <w:r w:rsidRPr="00921938">
        <w:rPr>
          <w:rFonts w:asciiTheme="majorHAnsi" w:hAnsiTheme="majorHAnsi" w:cstheme="majorHAnsi"/>
          <w:bCs/>
          <w:sz w:val="24"/>
          <w:szCs w:val="24"/>
          <w:lang w:val="ro-MD"/>
        </w:rPr>
        <w:t>educației, culturii și cercetării,</w:t>
      </w:r>
      <w:r w:rsidRPr="00921938">
        <w:rPr>
          <w:rFonts w:asciiTheme="majorHAnsi" w:hAnsiTheme="majorHAnsi" w:cstheme="majorHAnsi"/>
          <w:sz w:val="24"/>
          <w:szCs w:val="24"/>
          <w:lang w:val="ro-MD"/>
        </w:rPr>
        <w:t xml:space="preserve"> în calitate de conducător al organului central de specialitate al administrației publice, este responsabil de întocmirea și semnarea rapoartelor financiare </w:t>
      </w:r>
      <w:r w:rsidRPr="00921938">
        <w:rPr>
          <w:rFonts w:asciiTheme="majorHAnsi" w:hAnsiTheme="majorHAnsi" w:cstheme="majorHAnsi"/>
          <w:i/>
          <w:sz w:val="24"/>
          <w:szCs w:val="24"/>
          <w:lang w:val="ro-MD"/>
        </w:rPr>
        <w:t>consolidate</w:t>
      </w:r>
      <w:r w:rsidRPr="00921938">
        <w:rPr>
          <w:rFonts w:asciiTheme="majorHAnsi" w:hAnsiTheme="majorHAnsi" w:cstheme="majorHAnsi"/>
          <w:sz w:val="24"/>
          <w:szCs w:val="24"/>
          <w:vertAlign w:val="superscript"/>
          <w:lang w:val="ro-MD"/>
        </w:rPr>
        <w:footnoteReference w:id="81"/>
      </w:r>
      <w:r w:rsidRPr="00921938">
        <w:rPr>
          <w:rFonts w:asciiTheme="majorHAnsi" w:hAnsiTheme="majorHAnsi" w:cstheme="majorHAnsi"/>
          <w:sz w:val="24"/>
          <w:szCs w:val="24"/>
          <w:lang w:val="ro-MD"/>
        </w:rPr>
        <w:t xml:space="preserve"> în conformitate cu cadrul de raportare financiară aplicabil, precum și de organizarea sistemului de control intern</w:t>
      </w:r>
      <w:r w:rsidRPr="00921938">
        <w:rPr>
          <w:rFonts w:asciiTheme="majorHAnsi" w:hAnsiTheme="majorHAnsi" w:cstheme="majorHAnsi"/>
          <w:sz w:val="24"/>
          <w:szCs w:val="24"/>
          <w:vertAlign w:val="superscript"/>
          <w:lang w:val="ro-MD"/>
        </w:rPr>
        <w:footnoteReference w:id="82"/>
      </w:r>
      <w:r w:rsidRPr="00921938">
        <w:rPr>
          <w:rFonts w:asciiTheme="majorHAnsi" w:hAnsiTheme="majorHAnsi" w:cstheme="majorHAnsi"/>
          <w:sz w:val="24"/>
          <w:szCs w:val="24"/>
          <w:lang w:val="ro-MD"/>
        </w:rPr>
        <w:t xml:space="preserve">, pentru a asigura desfășurarea organizată și eficientă a activității economice a entității, inclusiv respectarea strictă a integrității activelor, prevenirea și </w:t>
      </w:r>
      <w:r w:rsidRPr="00921938">
        <w:rPr>
          <w:rFonts w:asciiTheme="majorHAnsi" w:hAnsiTheme="majorHAnsi" w:cstheme="majorHAnsi"/>
          <w:sz w:val="24"/>
          <w:szCs w:val="24"/>
          <w:lang w:val="ro-MD"/>
        </w:rPr>
        <w:lastRenderedPageBreak/>
        <w:t>descoperirea cauzelor de fraudă și eroare, exactitatea și plenitudinea înregistrărilor contabile, precum și pregătirea oportună a unor informații financiare credibile.</w:t>
      </w:r>
    </w:p>
    <w:p w14:paraId="13E62A84" w14:textId="77777777" w:rsidR="00430682" w:rsidRPr="00921938" w:rsidRDefault="00430682" w:rsidP="00325F1F">
      <w:pPr>
        <w:spacing w:after="0" w:line="276" w:lineRule="auto"/>
        <w:jc w:val="both"/>
        <w:rPr>
          <w:rFonts w:asciiTheme="majorHAnsi" w:hAnsiTheme="majorHAnsi" w:cstheme="majorHAnsi"/>
          <w:bCs/>
          <w:sz w:val="24"/>
          <w:szCs w:val="24"/>
          <w:lang w:val="ro-MD"/>
        </w:rPr>
      </w:pPr>
    </w:p>
    <w:p w14:paraId="3200479C" w14:textId="5BEAFEAA" w:rsidR="001701DF" w:rsidRPr="00921938" w:rsidRDefault="001701DF" w:rsidP="00325F1F">
      <w:pPr>
        <w:pStyle w:val="Heading1"/>
        <w:tabs>
          <w:tab w:val="left" w:pos="0"/>
        </w:tabs>
        <w:spacing w:before="0" w:line="276" w:lineRule="auto"/>
        <w:jc w:val="left"/>
        <w:rPr>
          <w:rFonts w:asciiTheme="majorHAnsi" w:hAnsiTheme="majorHAnsi" w:cstheme="majorHAnsi"/>
          <w:sz w:val="24"/>
          <w:szCs w:val="24"/>
          <w:lang w:val="ro-MD"/>
        </w:rPr>
      </w:pPr>
      <w:bookmarkStart w:id="9" w:name="_Toc506212738"/>
      <w:bookmarkStart w:id="10" w:name="_Toc517946648"/>
      <w:bookmarkStart w:id="11" w:name="_Toc519878943"/>
      <w:bookmarkStart w:id="12" w:name="_Toc527989154"/>
      <w:bookmarkStart w:id="13" w:name="_Toc528164111"/>
      <w:bookmarkStart w:id="14" w:name="_Toc529544635"/>
      <w:r w:rsidRPr="00921938">
        <w:rPr>
          <w:rFonts w:asciiTheme="majorHAnsi" w:hAnsiTheme="majorHAnsi" w:cstheme="majorHAnsi"/>
          <w:sz w:val="24"/>
          <w:szCs w:val="24"/>
          <w:lang w:val="ro-MD"/>
        </w:rPr>
        <w:t>V</w:t>
      </w:r>
      <w:r w:rsidR="00956640" w:rsidRPr="00921938">
        <w:rPr>
          <w:rFonts w:asciiTheme="majorHAnsi" w:hAnsiTheme="majorHAnsi" w:cstheme="majorHAnsi"/>
          <w:sz w:val="24"/>
          <w:szCs w:val="24"/>
          <w:lang w:val="ro-MD"/>
        </w:rPr>
        <w:t>I</w:t>
      </w:r>
      <w:r w:rsidR="00510A39" w:rsidRPr="00921938">
        <w:rPr>
          <w:rFonts w:asciiTheme="majorHAnsi" w:hAnsiTheme="majorHAnsi" w:cstheme="majorHAnsi"/>
          <w:sz w:val="24"/>
          <w:szCs w:val="24"/>
          <w:lang w:val="ro-MD"/>
        </w:rPr>
        <w:t>I</w:t>
      </w:r>
      <w:r w:rsidRPr="00921938">
        <w:rPr>
          <w:rFonts w:asciiTheme="majorHAnsi" w:hAnsiTheme="majorHAnsi" w:cstheme="majorHAnsi"/>
          <w:sz w:val="24"/>
          <w:szCs w:val="24"/>
          <w:lang w:val="ro-MD"/>
        </w:rPr>
        <w:t>. RESPONSABILITĂȚILE AUDITORULUI</w:t>
      </w:r>
      <w:bookmarkEnd w:id="9"/>
      <w:bookmarkEnd w:id="10"/>
      <w:r w:rsidRPr="00921938">
        <w:rPr>
          <w:rFonts w:asciiTheme="majorHAnsi" w:hAnsiTheme="majorHAnsi" w:cstheme="majorHAnsi"/>
          <w:sz w:val="24"/>
          <w:szCs w:val="24"/>
          <w:lang w:val="ro-MD"/>
        </w:rPr>
        <w:t xml:space="preserve"> ÎNTR-UN AUDIT AL </w:t>
      </w:r>
      <w:r w:rsidR="00E1788F" w:rsidRPr="00921938">
        <w:rPr>
          <w:rFonts w:asciiTheme="majorHAnsi" w:hAnsiTheme="majorHAnsi" w:cstheme="majorHAnsi"/>
          <w:sz w:val="24"/>
          <w:szCs w:val="24"/>
          <w:lang w:val="ro-MD"/>
        </w:rPr>
        <w:t>RAPOARTE</w:t>
      </w:r>
      <w:r w:rsidR="00E45F15" w:rsidRPr="00921938">
        <w:rPr>
          <w:rFonts w:asciiTheme="majorHAnsi" w:hAnsiTheme="majorHAnsi" w:cstheme="majorHAnsi"/>
          <w:sz w:val="24"/>
          <w:szCs w:val="24"/>
          <w:lang w:val="ro-MD"/>
        </w:rPr>
        <w:t xml:space="preserve">LOR </w:t>
      </w:r>
      <w:r w:rsidRPr="00921938">
        <w:rPr>
          <w:rFonts w:asciiTheme="majorHAnsi" w:hAnsiTheme="majorHAnsi" w:cstheme="majorHAnsi"/>
          <w:sz w:val="24"/>
          <w:szCs w:val="24"/>
          <w:lang w:val="ro-MD"/>
        </w:rPr>
        <w:t>FINANCIARE</w:t>
      </w:r>
      <w:bookmarkEnd w:id="11"/>
      <w:bookmarkEnd w:id="12"/>
      <w:bookmarkEnd w:id="13"/>
      <w:bookmarkEnd w:id="14"/>
    </w:p>
    <w:p w14:paraId="0D10CAB4" w14:textId="77777777" w:rsidR="008D036D" w:rsidRPr="00921938" w:rsidRDefault="008D036D" w:rsidP="00325F1F">
      <w:pPr>
        <w:autoSpaceDE w:val="0"/>
        <w:autoSpaceDN w:val="0"/>
        <w:adjustRightInd w:val="0"/>
        <w:spacing w:after="0" w:line="276" w:lineRule="auto"/>
        <w:jc w:val="both"/>
        <w:rPr>
          <w:rFonts w:asciiTheme="majorHAnsi" w:hAnsiTheme="majorHAnsi" w:cstheme="minorHAnsi"/>
          <w:sz w:val="24"/>
          <w:szCs w:val="24"/>
          <w:lang w:val="ro-MD"/>
        </w:rPr>
      </w:pPr>
      <w:r w:rsidRPr="00921938">
        <w:rPr>
          <w:rFonts w:asciiTheme="majorHAnsi" w:hAnsiTheme="majorHAnsi" w:cstheme="minorHAnsi"/>
          <w:sz w:val="24"/>
          <w:szCs w:val="24"/>
          <w:lang w:val="ro-MD"/>
        </w:rPr>
        <w:t>Responsabilitatea noastră este de a planifica și a realiza misiunea de audit, cu obținerea probelor suficiente și adecvate în vederea susținerii bazei pentru opinia de audit. Obiectivele noastre sunt: obținerea unei asigurări rezonabile că rapoartele financiare consolidate nu sunt afectate de denaturări semnificative, cauzate de fraude sau erori, precum și emiterea unei opinii.</w:t>
      </w:r>
    </w:p>
    <w:p w14:paraId="583D1289" w14:textId="77777777" w:rsidR="008D036D" w:rsidRPr="00921938" w:rsidRDefault="008D036D" w:rsidP="00325F1F">
      <w:pPr>
        <w:autoSpaceDE w:val="0"/>
        <w:autoSpaceDN w:val="0"/>
        <w:adjustRightInd w:val="0"/>
        <w:spacing w:after="0" w:line="276" w:lineRule="auto"/>
        <w:jc w:val="both"/>
        <w:rPr>
          <w:rFonts w:asciiTheme="majorHAnsi" w:hAnsiTheme="majorHAnsi" w:cstheme="minorHAnsi"/>
          <w:sz w:val="24"/>
          <w:szCs w:val="24"/>
          <w:lang w:val="ro-MD"/>
        </w:rPr>
      </w:pPr>
      <w:r w:rsidRPr="00921938">
        <w:rPr>
          <w:rFonts w:asciiTheme="majorHAnsi" w:hAnsiTheme="majorHAnsi" w:cstheme="minorHAnsi"/>
          <w:sz w:val="24"/>
          <w:szCs w:val="24"/>
          <w:lang w:val="ro-MD"/>
        </w:rPr>
        <w:t xml:space="preserve">Asigurarea rezonabilă este un nivel ridicat de asigurare, dar nu este o garanție că un audit efectuat în conformitate cu Standardele Internaționale va detecta întotdeauna o denaturare semnificativă atunci când ea există. Denaturările pot fi urmare a fraudelor sau erorilor. Totodată, denaturările pot fi considerate semnificative dacă, în mod individual sau în ansamblu, pot influența deciziile economice ale utilizatorilor acestor situații financiare. </w:t>
      </w:r>
    </w:p>
    <w:p w14:paraId="59BA5D4B" w14:textId="31221AA8" w:rsidR="008D036D" w:rsidRPr="00921938" w:rsidRDefault="008D036D" w:rsidP="00325F1F">
      <w:pPr>
        <w:spacing w:after="0" w:line="276" w:lineRule="auto"/>
        <w:jc w:val="both"/>
        <w:rPr>
          <w:rFonts w:asciiTheme="majorHAnsi" w:hAnsiTheme="majorHAnsi" w:cstheme="minorHAnsi"/>
          <w:sz w:val="24"/>
          <w:szCs w:val="24"/>
          <w:lang w:val="ro-MD"/>
        </w:rPr>
      </w:pPr>
      <w:r w:rsidRPr="00921938">
        <w:rPr>
          <w:rFonts w:asciiTheme="majorHAnsi" w:hAnsiTheme="majorHAnsi" w:cstheme="minorHAnsi"/>
          <w:sz w:val="24"/>
          <w:szCs w:val="24"/>
          <w:lang w:val="ro-MD"/>
        </w:rPr>
        <w:t xml:space="preserve">O descriere suplimentară a responsabilităților auditorului într-un audit al rapoartelor financiare este plasată pe site-ul Curţii de Conturi, la adresa: </w:t>
      </w:r>
      <w:r w:rsidRPr="00FB7A9A">
        <w:rPr>
          <w:rFonts w:asciiTheme="majorHAnsi" w:hAnsiTheme="majorHAnsi" w:cstheme="majorHAnsi"/>
          <w:i/>
          <w:color w:val="2E74B5" w:themeColor="accent1" w:themeShade="BF"/>
          <w:sz w:val="24"/>
          <w:szCs w:val="24"/>
          <w:u w:val="single"/>
          <w:lang w:val="ro-MD"/>
        </w:rPr>
        <w:t>http://www.ccrm.md/activitatea-curtii-de-conturi-1-25</w:t>
      </w:r>
      <w:r w:rsidRPr="00921938">
        <w:rPr>
          <w:rFonts w:asciiTheme="majorHAnsi" w:hAnsiTheme="majorHAnsi" w:cstheme="majorHAnsi"/>
          <w:i/>
          <w:sz w:val="24"/>
          <w:szCs w:val="24"/>
          <w:lang w:val="ro-MD"/>
        </w:rPr>
        <w:t>.</w:t>
      </w:r>
      <w:r w:rsidRPr="00921938">
        <w:rPr>
          <w:rFonts w:asciiTheme="majorHAnsi" w:hAnsiTheme="majorHAnsi" w:cstheme="minorHAnsi"/>
          <w:sz w:val="24"/>
          <w:szCs w:val="24"/>
          <w:lang w:val="ro-MD"/>
        </w:rPr>
        <w:t xml:space="preserve"> Această descriere face parte din </w:t>
      </w:r>
      <w:r w:rsidR="004D0E4A">
        <w:rPr>
          <w:rFonts w:asciiTheme="majorHAnsi" w:hAnsiTheme="majorHAnsi" w:cstheme="minorHAnsi"/>
          <w:sz w:val="24"/>
          <w:szCs w:val="24"/>
          <w:lang w:val="ro-MD"/>
        </w:rPr>
        <w:t>R</w:t>
      </w:r>
      <w:r w:rsidRPr="00921938">
        <w:rPr>
          <w:rFonts w:asciiTheme="majorHAnsi" w:hAnsiTheme="majorHAnsi" w:cstheme="minorHAnsi"/>
          <w:sz w:val="24"/>
          <w:szCs w:val="24"/>
          <w:lang w:val="ro-MD"/>
        </w:rPr>
        <w:t>aportul nostru de audit.</w:t>
      </w:r>
    </w:p>
    <w:p w14:paraId="3CBADC36" w14:textId="77777777" w:rsidR="00A467AC" w:rsidRPr="00921938" w:rsidRDefault="00A467AC" w:rsidP="00325F1F">
      <w:pPr>
        <w:pStyle w:val="NormalWeb"/>
        <w:spacing w:line="276" w:lineRule="auto"/>
        <w:ind w:firstLine="0"/>
        <w:rPr>
          <w:rFonts w:asciiTheme="majorHAnsi" w:hAnsiTheme="majorHAnsi" w:cstheme="majorHAnsi"/>
          <w:i/>
          <w:iCs/>
          <w:sz w:val="20"/>
          <w:szCs w:val="20"/>
          <w:lang w:val="ro-MD"/>
        </w:rPr>
      </w:pPr>
    </w:p>
    <w:p w14:paraId="6261C9A0" w14:textId="2E4441E9" w:rsidR="00F73536" w:rsidRPr="00921938" w:rsidRDefault="00F73536" w:rsidP="00325F1F">
      <w:pPr>
        <w:pStyle w:val="NormalWeb"/>
        <w:spacing w:line="276" w:lineRule="auto"/>
        <w:ind w:firstLine="0"/>
        <w:rPr>
          <w:rFonts w:asciiTheme="majorHAnsi" w:hAnsiTheme="majorHAnsi" w:cstheme="majorHAnsi"/>
          <w:i/>
          <w:iCs/>
          <w:sz w:val="20"/>
          <w:szCs w:val="20"/>
          <w:lang w:val="ro-MD"/>
        </w:rPr>
      </w:pPr>
      <w:r w:rsidRPr="00921938">
        <w:rPr>
          <w:rFonts w:asciiTheme="majorHAnsi" w:hAnsiTheme="majorHAnsi" w:cstheme="majorHAnsi"/>
          <w:i/>
          <w:iCs/>
          <w:sz w:val="20"/>
          <w:szCs w:val="20"/>
          <w:lang w:val="ro-MD"/>
        </w:rPr>
        <w:t>Notă: Prezentul Raport de audit a fost întocmit în baza probelor acumulate de către echipa de audit, în următoarea componență: auditorii publici principali: Nadejda IONIȚĂ, Elena COLIBĂ, Igor LUNGU, Dorin CIUBOTARU</w:t>
      </w:r>
      <w:r w:rsidR="00A467AC" w:rsidRPr="00921938">
        <w:rPr>
          <w:rFonts w:asciiTheme="majorHAnsi" w:hAnsiTheme="majorHAnsi" w:cstheme="majorHAnsi"/>
          <w:i/>
          <w:iCs/>
          <w:sz w:val="20"/>
          <w:szCs w:val="20"/>
          <w:lang w:val="ro-MD"/>
        </w:rPr>
        <w:t>, Tatiana UNGUREANU</w:t>
      </w:r>
      <w:r w:rsidRPr="00921938">
        <w:rPr>
          <w:rFonts w:asciiTheme="majorHAnsi" w:hAnsiTheme="majorHAnsi" w:cstheme="majorHAnsi"/>
          <w:i/>
          <w:iCs/>
          <w:sz w:val="20"/>
          <w:szCs w:val="20"/>
          <w:lang w:val="ro-MD"/>
        </w:rPr>
        <w:t>; auditorii publici superiori: Aurica RUSU, Maria TABACARI; auditor public Sergiu MÎȚĂ.</w:t>
      </w:r>
    </w:p>
    <w:p w14:paraId="5C80E2DA" w14:textId="77777777" w:rsidR="00F73536" w:rsidRPr="00921938" w:rsidRDefault="00F73536" w:rsidP="00325F1F">
      <w:pPr>
        <w:pStyle w:val="ListParagraph"/>
        <w:spacing w:line="276" w:lineRule="auto"/>
        <w:ind w:left="0" w:firstLine="720"/>
        <w:contextualSpacing w:val="0"/>
        <w:rPr>
          <w:rFonts w:asciiTheme="majorHAnsi" w:hAnsiTheme="majorHAnsi" w:cstheme="majorHAnsi"/>
          <w:b/>
          <w:bCs/>
          <w:i/>
          <w:sz w:val="24"/>
          <w:szCs w:val="24"/>
          <w:lang w:val="ro-MD"/>
        </w:rPr>
      </w:pPr>
    </w:p>
    <w:p w14:paraId="578BBC55" w14:textId="77777777" w:rsidR="00F73536" w:rsidRPr="00921938" w:rsidRDefault="00F73536" w:rsidP="00325F1F">
      <w:pPr>
        <w:spacing w:after="0" w:line="276" w:lineRule="auto"/>
        <w:jc w:val="both"/>
        <w:rPr>
          <w:rFonts w:asciiTheme="majorHAnsi" w:eastAsia="Times New Roman" w:hAnsiTheme="majorHAnsi" w:cs="Times New Roman"/>
          <w:b/>
          <w:i/>
          <w:sz w:val="24"/>
          <w:szCs w:val="24"/>
          <w:lang w:val="ro-MD" w:eastAsia="ro-MD"/>
        </w:rPr>
      </w:pPr>
      <w:r w:rsidRPr="00921938">
        <w:rPr>
          <w:rFonts w:asciiTheme="majorHAnsi" w:eastAsia="Times New Roman" w:hAnsiTheme="majorHAnsi" w:cs="Times New Roman"/>
          <w:b/>
          <w:i/>
          <w:sz w:val="24"/>
          <w:szCs w:val="24"/>
          <w:lang w:val="ro-MD" w:eastAsia="ro-MD"/>
        </w:rPr>
        <w:t>Responsabili de întocmirea Raportului de audit:</w:t>
      </w:r>
    </w:p>
    <w:p w14:paraId="26C4DB60" w14:textId="77777777" w:rsidR="00F73536" w:rsidRPr="00921938" w:rsidRDefault="00F73536" w:rsidP="00325F1F">
      <w:pPr>
        <w:spacing w:after="0" w:line="276" w:lineRule="auto"/>
        <w:jc w:val="both"/>
        <w:rPr>
          <w:rFonts w:asciiTheme="majorHAnsi" w:eastAsia="Times New Roman" w:hAnsiTheme="majorHAnsi" w:cs="Times New Roman"/>
          <w:sz w:val="24"/>
          <w:szCs w:val="24"/>
          <w:lang w:val="ro-MD" w:eastAsia="ro-MD"/>
        </w:rPr>
      </w:pPr>
      <w:r w:rsidRPr="00921938">
        <w:rPr>
          <w:rFonts w:asciiTheme="majorHAnsi" w:eastAsia="Times New Roman" w:hAnsiTheme="majorHAnsi" w:cs="Times New Roman"/>
          <w:sz w:val="24"/>
          <w:szCs w:val="24"/>
          <w:lang w:val="ro-MD" w:eastAsia="ro-MD"/>
        </w:rPr>
        <w:t>Șeful echipei de audit,</w:t>
      </w:r>
    </w:p>
    <w:p w14:paraId="6920CB30" w14:textId="77777777" w:rsidR="00F73536" w:rsidRPr="00921938" w:rsidRDefault="00F73536" w:rsidP="00325F1F">
      <w:pPr>
        <w:spacing w:after="0" w:line="276" w:lineRule="auto"/>
        <w:jc w:val="both"/>
        <w:rPr>
          <w:rFonts w:asciiTheme="majorHAnsi" w:eastAsia="Times New Roman" w:hAnsiTheme="majorHAnsi" w:cs="Times New Roman"/>
          <w:sz w:val="24"/>
          <w:szCs w:val="24"/>
          <w:lang w:val="ro-MD" w:eastAsia="ro-MD"/>
        </w:rPr>
      </w:pPr>
      <w:r w:rsidRPr="00921938">
        <w:rPr>
          <w:rFonts w:asciiTheme="majorHAnsi" w:eastAsia="Times New Roman" w:hAnsiTheme="majorHAnsi" w:cs="Times New Roman"/>
          <w:sz w:val="24"/>
          <w:szCs w:val="24"/>
          <w:lang w:val="ro-MD" w:eastAsia="ro-MD"/>
        </w:rPr>
        <w:t xml:space="preserve">Șef direcția audit III din cadrul </w:t>
      </w:r>
    </w:p>
    <w:p w14:paraId="2A1FDE0F" w14:textId="015BC343" w:rsidR="00F73536" w:rsidRPr="00921938" w:rsidRDefault="00F73536" w:rsidP="00325F1F">
      <w:pPr>
        <w:spacing w:after="0" w:line="276" w:lineRule="auto"/>
        <w:jc w:val="both"/>
        <w:rPr>
          <w:rFonts w:asciiTheme="majorHAnsi" w:eastAsia="Times New Roman" w:hAnsiTheme="majorHAnsi" w:cs="Times New Roman"/>
          <w:sz w:val="24"/>
          <w:szCs w:val="24"/>
          <w:lang w:val="ro-MD" w:eastAsia="ro-MD"/>
        </w:rPr>
      </w:pPr>
      <w:r w:rsidRPr="00921938">
        <w:rPr>
          <w:rFonts w:asciiTheme="majorHAnsi" w:hAnsiTheme="majorHAnsi" w:cs="Times New Roman"/>
          <w:sz w:val="24"/>
          <w:szCs w:val="24"/>
          <w:lang w:val="ro-MD"/>
        </w:rPr>
        <w:t>Direcției generale de audit V,</w:t>
      </w:r>
      <w:r w:rsidRPr="00921938">
        <w:rPr>
          <w:rFonts w:asciiTheme="majorHAnsi" w:hAnsiTheme="majorHAnsi" w:cs="Times New Roman"/>
          <w:sz w:val="24"/>
          <w:szCs w:val="24"/>
          <w:lang w:val="ro-MD"/>
        </w:rPr>
        <w:tab/>
      </w:r>
      <w:r w:rsidRPr="00921938">
        <w:rPr>
          <w:rFonts w:asciiTheme="majorHAnsi" w:hAnsiTheme="majorHAnsi" w:cs="Times New Roman"/>
          <w:sz w:val="24"/>
          <w:szCs w:val="24"/>
          <w:lang w:val="ro-MD"/>
        </w:rPr>
        <w:tab/>
      </w:r>
      <w:r w:rsidR="00414134">
        <w:rPr>
          <w:rFonts w:asciiTheme="majorHAnsi" w:hAnsiTheme="majorHAnsi" w:cs="Times New Roman"/>
          <w:sz w:val="24"/>
          <w:szCs w:val="24"/>
          <w:lang w:val="ro-MD"/>
        </w:rPr>
        <w:t xml:space="preserve">                          </w:t>
      </w:r>
      <w:r w:rsidRPr="00921938">
        <w:rPr>
          <w:rFonts w:asciiTheme="majorHAnsi" w:hAnsiTheme="majorHAnsi" w:cs="Times New Roman"/>
          <w:sz w:val="24"/>
          <w:szCs w:val="24"/>
          <w:lang w:val="ro-MD"/>
        </w:rPr>
        <w:t xml:space="preserve"> Ion </w:t>
      </w:r>
      <w:r w:rsidRPr="00921938">
        <w:rPr>
          <w:rFonts w:asciiTheme="majorHAnsi" w:hAnsiTheme="majorHAnsi" w:cs="Times New Roman"/>
          <w:b/>
          <w:sz w:val="24"/>
          <w:szCs w:val="24"/>
          <w:lang w:val="ro-MD"/>
        </w:rPr>
        <w:t>PLEȘCA</w:t>
      </w:r>
      <w:r w:rsidRPr="00921938">
        <w:rPr>
          <w:rFonts w:asciiTheme="majorHAnsi" w:hAnsiTheme="majorHAnsi" w:cs="Times New Roman"/>
          <w:sz w:val="24"/>
          <w:szCs w:val="24"/>
          <w:lang w:val="ro-MD"/>
        </w:rPr>
        <w:t xml:space="preserve"> </w:t>
      </w:r>
    </w:p>
    <w:p w14:paraId="3D515D8A" w14:textId="77777777" w:rsidR="000A0E2D" w:rsidRPr="00921938" w:rsidRDefault="000A0E2D" w:rsidP="00325F1F">
      <w:pPr>
        <w:tabs>
          <w:tab w:val="left" w:pos="7513"/>
        </w:tabs>
        <w:spacing w:after="0" w:line="276" w:lineRule="auto"/>
        <w:rPr>
          <w:rFonts w:asciiTheme="majorHAnsi" w:eastAsia="Times New Roman" w:hAnsiTheme="majorHAnsi" w:cstheme="majorHAnsi"/>
          <w:b/>
          <w:i/>
          <w:iCs/>
          <w:sz w:val="24"/>
          <w:szCs w:val="24"/>
          <w:lang w:val="ro-MD"/>
        </w:rPr>
      </w:pPr>
    </w:p>
    <w:p w14:paraId="2396B553" w14:textId="0ADC37B2" w:rsidR="00F73536" w:rsidRPr="00921938" w:rsidRDefault="00F73536" w:rsidP="00325F1F">
      <w:pPr>
        <w:tabs>
          <w:tab w:val="left" w:pos="7513"/>
        </w:tabs>
        <w:spacing w:after="0" w:line="276" w:lineRule="auto"/>
        <w:rPr>
          <w:rFonts w:asciiTheme="majorHAnsi" w:eastAsia="Times New Roman" w:hAnsiTheme="majorHAnsi" w:cstheme="majorHAnsi"/>
          <w:b/>
          <w:i/>
          <w:iCs/>
          <w:sz w:val="24"/>
          <w:szCs w:val="24"/>
          <w:lang w:val="ro-MD"/>
        </w:rPr>
      </w:pPr>
      <w:r w:rsidRPr="00921938">
        <w:rPr>
          <w:rFonts w:asciiTheme="majorHAnsi" w:eastAsia="Times New Roman" w:hAnsiTheme="majorHAnsi" w:cstheme="majorHAnsi"/>
          <w:b/>
          <w:i/>
          <w:iCs/>
          <w:sz w:val="24"/>
          <w:szCs w:val="24"/>
          <w:lang w:val="ro-MD"/>
        </w:rPr>
        <w:t xml:space="preserve">Responsabil de monitorizarea și asigurarea calității auditului: </w:t>
      </w:r>
    </w:p>
    <w:p w14:paraId="67B6FCC1" w14:textId="64BA7B51" w:rsidR="00F73536" w:rsidRPr="00921938" w:rsidRDefault="00F73536" w:rsidP="00325F1F">
      <w:pPr>
        <w:tabs>
          <w:tab w:val="left" w:pos="7513"/>
        </w:tabs>
        <w:spacing w:after="0" w:line="276" w:lineRule="auto"/>
        <w:rPr>
          <w:rFonts w:asciiTheme="majorHAnsi" w:eastAsia="Times New Roman" w:hAnsiTheme="majorHAnsi" w:cstheme="majorHAnsi"/>
          <w:b/>
          <w:bCs/>
          <w:iCs/>
          <w:sz w:val="24"/>
          <w:szCs w:val="24"/>
          <w:lang w:val="ro-MD"/>
        </w:rPr>
      </w:pPr>
      <w:r w:rsidRPr="00921938">
        <w:rPr>
          <w:rFonts w:asciiTheme="majorHAnsi" w:eastAsia="Times New Roman" w:hAnsiTheme="majorHAnsi" w:cstheme="majorHAnsi"/>
          <w:bCs/>
          <w:sz w:val="24"/>
          <w:szCs w:val="24"/>
          <w:lang w:val="ro-MD"/>
        </w:rPr>
        <w:t>Șeful Direcției generale de audit V,</w:t>
      </w:r>
      <w:r w:rsidR="00414134">
        <w:rPr>
          <w:rFonts w:asciiTheme="majorHAnsi" w:eastAsia="Times New Roman" w:hAnsiTheme="majorHAnsi" w:cstheme="majorHAnsi"/>
          <w:bCs/>
          <w:sz w:val="24"/>
          <w:szCs w:val="24"/>
          <w:lang w:val="ro-MD"/>
        </w:rPr>
        <w:t xml:space="preserve">                             </w:t>
      </w:r>
      <w:r w:rsidRPr="00921938">
        <w:rPr>
          <w:rFonts w:asciiTheme="majorHAnsi" w:eastAsia="Times New Roman" w:hAnsiTheme="majorHAnsi" w:cstheme="majorHAnsi"/>
          <w:bCs/>
          <w:iCs/>
          <w:sz w:val="24"/>
          <w:szCs w:val="24"/>
          <w:lang w:val="ro-MD"/>
        </w:rPr>
        <w:t xml:space="preserve">Sergiu </w:t>
      </w:r>
      <w:r w:rsidRPr="00921938">
        <w:rPr>
          <w:rFonts w:asciiTheme="majorHAnsi" w:eastAsia="Times New Roman" w:hAnsiTheme="majorHAnsi" w:cstheme="majorHAnsi"/>
          <w:b/>
          <w:bCs/>
          <w:iCs/>
          <w:sz w:val="24"/>
          <w:szCs w:val="24"/>
          <w:lang w:val="ro-MD"/>
        </w:rPr>
        <w:t>ȘTIRBU</w:t>
      </w:r>
    </w:p>
    <w:sectPr w:rsidR="00F73536" w:rsidRPr="00921938" w:rsidSect="00FB7A9A">
      <w:pgSz w:w="11906" w:h="16838" w:code="9"/>
      <w:pgMar w:top="900" w:right="850" w:bottom="1134" w:left="1701" w:header="720" w:footer="4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039CE" w14:textId="77777777" w:rsidR="00C25572" w:rsidRDefault="00C25572" w:rsidP="00627652">
      <w:pPr>
        <w:spacing w:after="0" w:line="240" w:lineRule="auto"/>
      </w:pPr>
      <w:r>
        <w:separator/>
      </w:r>
    </w:p>
  </w:endnote>
  <w:endnote w:type="continuationSeparator" w:id="0">
    <w:p w14:paraId="19C4C971" w14:textId="77777777" w:rsidR="00C25572" w:rsidRDefault="00C25572" w:rsidP="0062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950139"/>
      <w:docPartObj>
        <w:docPartGallery w:val="Page Numbers (Bottom of Page)"/>
        <w:docPartUnique/>
      </w:docPartObj>
    </w:sdtPr>
    <w:sdtEndPr>
      <w:rPr>
        <w:noProof/>
        <w:sz w:val="20"/>
      </w:rPr>
    </w:sdtEndPr>
    <w:sdtContent>
      <w:p w14:paraId="00413151" w14:textId="4E0A2D3D" w:rsidR="00BA41FB" w:rsidRPr="004C443F" w:rsidRDefault="00BA41FB">
        <w:pPr>
          <w:pStyle w:val="Footer"/>
          <w:jc w:val="right"/>
          <w:rPr>
            <w:sz w:val="20"/>
          </w:rPr>
        </w:pPr>
        <w:r w:rsidRPr="004C443F">
          <w:rPr>
            <w:sz w:val="20"/>
          </w:rPr>
          <w:fldChar w:fldCharType="begin"/>
        </w:r>
        <w:r w:rsidRPr="004C443F">
          <w:rPr>
            <w:sz w:val="20"/>
          </w:rPr>
          <w:instrText xml:space="preserve"> PAGE   \* MERGEFORMAT </w:instrText>
        </w:r>
        <w:r w:rsidRPr="004C443F">
          <w:rPr>
            <w:sz w:val="20"/>
          </w:rPr>
          <w:fldChar w:fldCharType="separate"/>
        </w:r>
        <w:r w:rsidR="00BF5358">
          <w:rPr>
            <w:noProof/>
            <w:sz w:val="20"/>
          </w:rPr>
          <w:t>12</w:t>
        </w:r>
        <w:r w:rsidRPr="004C443F">
          <w:rPr>
            <w:noProof/>
            <w:sz w:val="20"/>
          </w:rPr>
          <w:fldChar w:fldCharType="end"/>
        </w:r>
      </w:p>
    </w:sdtContent>
  </w:sdt>
  <w:p w14:paraId="600DA493" w14:textId="77777777" w:rsidR="00BA41FB" w:rsidRDefault="00BA4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6BDCB" w14:textId="77777777" w:rsidR="00C25572" w:rsidRDefault="00C25572" w:rsidP="00627652">
      <w:pPr>
        <w:spacing w:after="0" w:line="240" w:lineRule="auto"/>
      </w:pPr>
      <w:r>
        <w:separator/>
      </w:r>
    </w:p>
  </w:footnote>
  <w:footnote w:type="continuationSeparator" w:id="0">
    <w:p w14:paraId="3FE77ECD" w14:textId="77777777" w:rsidR="00C25572" w:rsidRDefault="00C25572" w:rsidP="00627652">
      <w:pPr>
        <w:spacing w:after="0" w:line="240" w:lineRule="auto"/>
      </w:pPr>
      <w:r>
        <w:continuationSeparator/>
      </w:r>
    </w:p>
  </w:footnote>
  <w:footnote w:id="1">
    <w:p w14:paraId="34945296" w14:textId="68AFC70A" w:rsidR="00BA41FB" w:rsidRPr="006C4F60" w:rsidRDefault="00BA41FB" w:rsidP="00D540D7">
      <w:pPr>
        <w:pStyle w:val="FootnoteText"/>
        <w:jc w:val="both"/>
        <w:rPr>
          <w:rFonts w:asciiTheme="majorHAnsi" w:hAnsiTheme="majorHAnsi" w:cstheme="majorHAnsi"/>
          <w:sz w:val="16"/>
          <w:szCs w:val="16"/>
          <w:lang w:val="ro-MD"/>
        </w:rPr>
      </w:pPr>
      <w:r w:rsidRPr="006C4F60">
        <w:rPr>
          <w:rStyle w:val="FootnoteReference"/>
          <w:rFonts w:asciiTheme="majorHAnsi" w:hAnsiTheme="majorHAnsi" w:cstheme="majorHAnsi"/>
          <w:sz w:val="16"/>
          <w:szCs w:val="16"/>
          <w:lang w:val="ro-MD"/>
        </w:rPr>
        <w:footnoteRef/>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Legea contabilității nr.</w:t>
      </w:r>
      <w:r w:rsidRPr="006C4F60">
        <w:rPr>
          <w:rFonts w:asciiTheme="majorHAnsi" w:eastAsia="Times New Roman" w:hAnsiTheme="majorHAnsi" w:cstheme="majorHAnsi"/>
          <w:sz w:val="16"/>
          <w:szCs w:val="16"/>
          <w:lang w:val="ro-MD"/>
        </w:rPr>
        <w:t>113-XVI din 27.04.2007;</w:t>
      </w:r>
      <w:r w:rsidRPr="006C4F60">
        <w:rPr>
          <w:rFonts w:asciiTheme="majorHAnsi" w:hAnsiTheme="majorHAnsi" w:cstheme="majorHAnsi"/>
          <w:sz w:val="16"/>
          <w:szCs w:val="16"/>
          <w:lang w:val="ro-MD"/>
        </w:rPr>
        <w:t xml:space="preserve"> </w:t>
      </w:r>
      <w:r w:rsidRPr="006C4F60">
        <w:rPr>
          <w:rFonts w:asciiTheme="majorHAnsi" w:eastAsia="Times New Roman" w:hAnsiTheme="majorHAnsi" w:cstheme="majorHAnsi"/>
          <w:sz w:val="16"/>
          <w:szCs w:val="16"/>
          <w:lang w:val="ro-MD"/>
        </w:rPr>
        <w:t>Planul de conturi contabile în sistemul bugetar și Normele metodologice privind evidența contabilă și raportarea financiară în sistemul bugetar, aprobate prin Ordinul ministrului finanțelor nr.216 din 28.12.2015; Ordinul ministrului finanțelor nr.164 din 09.12.2019 „Cu privire la aprobarea termenelor de prezentare a rapoartelor financiare pe anul 2019”; Ordinul ministrului finanțelor nr.164 din 30.12.2016 „Cu privire la aprobarea Cerințelor la întocmirea Raportului narativ privind executarea bugetelor autorităților/instituțiilor bugetare”.</w:t>
      </w:r>
    </w:p>
  </w:footnote>
  <w:footnote w:id="2">
    <w:p w14:paraId="7783B235" w14:textId="56A2DBD0" w:rsidR="00BA41FB" w:rsidRPr="006C4F60" w:rsidRDefault="00BA41FB" w:rsidP="00D540D7">
      <w:pPr>
        <w:pStyle w:val="FootnoteText"/>
        <w:rPr>
          <w:rFonts w:asciiTheme="majorHAnsi" w:hAnsiTheme="majorHAnsi" w:cstheme="majorHAnsi"/>
          <w:sz w:val="16"/>
          <w:szCs w:val="16"/>
          <w:lang w:val="ro-MD"/>
        </w:rPr>
      </w:pPr>
      <w:r w:rsidRPr="006C4F60">
        <w:rPr>
          <w:rStyle w:val="FootnoteReference"/>
          <w:rFonts w:asciiTheme="majorHAnsi" w:hAnsiTheme="majorHAnsi" w:cstheme="majorHAnsi"/>
          <w:sz w:val="16"/>
          <w:szCs w:val="16"/>
          <w:lang w:val="ro-MD"/>
        </w:rPr>
        <w:footnoteRef/>
      </w:r>
      <w:r w:rsidRPr="006C4F60">
        <w:rPr>
          <w:rFonts w:asciiTheme="majorHAnsi" w:hAnsiTheme="majorHAnsi" w:cstheme="majorHAnsi"/>
          <w:sz w:val="16"/>
          <w:szCs w:val="16"/>
          <w:lang w:val="ro-MD"/>
        </w:rPr>
        <w:t xml:space="preserve"> </w:t>
      </w:r>
      <w:r w:rsidR="007524BE">
        <w:rPr>
          <w:rFonts w:asciiTheme="majorHAnsi" w:hAnsiTheme="majorHAnsi" w:cstheme="majorHAnsi"/>
          <w:sz w:val="16"/>
          <w:szCs w:val="16"/>
          <w:lang w:val="ro-MD"/>
        </w:rPr>
        <w:t xml:space="preserve">Din care. </w:t>
      </w:r>
      <w:r w:rsidRPr="006C4F60">
        <w:rPr>
          <w:rFonts w:asciiTheme="majorHAnsi" w:hAnsiTheme="majorHAnsi" w:cstheme="majorHAnsi"/>
          <w:sz w:val="16"/>
          <w:szCs w:val="16"/>
          <w:lang w:val="ro-MD"/>
        </w:rPr>
        <w:t>4,65 mil.lei – 2 terenuri agricole</w:t>
      </w:r>
      <w:r>
        <w:rPr>
          <w:rFonts w:asciiTheme="majorHAnsi" w:hAnsiTheme="majorHAnsi" w:cstheme="majorHAnsi"/>
          <w:sz w:val="16"/>
          <w:szCs w:val="16"/>
          <w:lang w:val="ro-MD"/>
        </w:rPr>
        <w:t>,</w:t>
      </w:r>
      <w:r w:rsidRPr="006C4F60">
        <w:rPr>
          <w:rFonts w:asciiTheme="majorHAnsi" w:hAnsiTheme="majorHAnsi" w:cstheme="majorHAnsi"/>
          <w:sz w:val="16"/>
          <w:szCs w:val="16"/>
          <w:lang w:val="ro-MD"/>
        </w:rPr>
        <w:t xml:space="preserve"> și 124,76</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mil.lei – 17</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terenuri pentru construcții.</w:t>
      </w:r>
    </w:p>
  </w:footnote>
  <w:footnote w:id="3">
    <w:p w14:paraId="6CD35682" w14:textId="77224160" w:rsidR="00BA41FB" w:rsidRDefault="00BA41FB" w:rsidP="001416CF">
      <w:pPr>
        <w:spacing w:after="0" w:line="240" w:lineRule="auto"/>
        <w:jc w:val="both"/>
        <w:rPr>
          <w:rFonts w:asciiTheme="majorHAnsi" w:hAnsiTheme="majorHAnsi" w:cstheme="majorHAnsi"/>
          <w:sz w:val="16"/>
          <w:szCs w:val="16"/>
          <w:lang w:val="ro-MD"/>
        </w:rPr>
      </w:pPr>
      <w:r w:rsidRPr="006C4F60">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Institutul Național </w:t>
      </w:r>
      <w:r>
        <w:rPr>
          <w:rFonts w:asciiTheme="majorHAnsi" w:hAnsiTheme="majorHAnsi" w:cstheme="majorHAnsi"/>
          <w:sz w:val="16"/>
          <w:szCs w:val="16"/>
          <w:lang w:val="ro-MD"/>
        </w:rPr>
        <w:t xml:space="preserve">de </w:t>
      </w:r>
      <w:r w:rsidRPr="005C1794">
        <w:rPr>
          <w:rFonts w:asciiTheme="majorHAnsi" w:hAnsiTheme="majorHAnsi" w:cstheme="majorHAnsi"/>
          <w:sz w:val="16"/>
          <w:szCs w:val="16"/>
          <w:lang w:val="ro-MD"/>
        </w:rPr>
        <w:t xml:space="preserve">Cercetări Economice (imobil privatizat în anul 2009, 1618,7 mii lei); ȘRS de Hipism și Pentatlon Modern (20 apartamente </w:t>
      </w:r>
      <w:r>
        <w:rPr>
          <w:rFonts w:asciiTheme="majorHAnsi" w:hAnsiTheme="majorHAnsi" w:cstheme="majorHAnsi"/>
          <w:sz w:val="16"/>
          <w:szCs w:val="16"/>
          <w:lang w:val="ro-MD"/>
        </w:rPr>
        <w:t>–</w:t>
      </w:r>
    </w:p>
    <w:p w14:paraId="4C1ECF32" w14:textId="01C48FF5" w:rsidR="00BA41FB" w:rsidRPr="005C1794" w:rsidRDefault="00BA41FB" w:rsidP="001416CF">
      <w:pPr>
        <w:spacing w:after="0" w:line="240" w:lineRule="auto"/>
        <w:jc w:val="both"/>
        <w:rPr>
          <w:rFonts w:asciiTheme="majorHAnsi" w:eastAsia="Calibri" w:hAnsiTheme="majorHAnsi" w:cstheme="majorHAnsi"/>
          <w:i/>
          <w:sz w:val="16"/>
          <w:szCs w:val="16"/>
          <w:lang w:val="ro-MD"/>
        </w:rPr>
      </w:pPr>
      <w:r w:rsidRPr="005C1794">
        <w:rPr>
          <w:rFonts w:asciiTheme="majorHAnsi" w:hAnsiTheme="majorHAnsi" w:cstheme="majorHAnsi"/>
          <w:sz w:val="16"/>
          <w:szCs w:val="16"/>
          <w:lang w:val="ro-MD"/>
        </w:rPr>
        <w:t xml:space="preserve"> 2898,4 mii lei).</w:t>
      </w:r>
    </w:p>
  </w:footnote>
  <w:footnote w:id="4">
    <w:p w14:paraId="4738DD41" w14:textId="77777777" w:rsidR="00BA41FB" w:rsidRPr="005C1794" w:rsidRDefault="00BA41FB" w:rsidP="003C131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Legea nr.29 din 05.04.2018 privind delimitarea proprietății publice.</w:t>
      </w:r>
    </w:p>
  </w:footnote>
  <w:footnote w:id="5">
    <w:p w14:paraId="27E22C20" w14:textId="5ED50459" w:rsidR="00BA41FB" w:rsidRPr="00E95C53" w:rsidRDefault="00BA41FB">
      <w:pPr>
        <w:pStyle w:val="FootnoteText"/>
        <w:rPr>
          <w:rFonts w:asciiTheme="majorHAnsi" w:hAnsiTheme="majorHAnsi" w:cstheme="majorHAnsi"/>
          <w:sz w:val="16"/>
          <w:szCs w:val="16"/>
          <w:lang w:val="ro-MD"/>
        </w:rPr>
      </w:pPr>
      <w:r w:rsidRPr="00E95C53">
        <w:rPr>
          <w:rStyle w:val="FootnoteReference"/>
          <w:rFonts w:asciiTheme="majorHAnsi" w:hAnsiTheme="majorHAnsi" w:cstheme="majorHAnsi"/>
          <w:sz w:val="16"/>
          <w:szCs w:val="16"/>
        </w:rPr>
        <w:footnoteRef/>
      </w:r>
      <w:r w:rsidRPr="00BF5358">
        <w:rPr>
          <w:rFonts w:asciiTheme="majorHAnsi" w:hAnsiTheme="majorHAnsi" w:cstheme="majorHAnsi"/>
          <w:sz w:val="16"/>
          <w:szCs w:val="16"/>
          <w:lang w:val="ro-MD"/>
        </w:rPr>
        <w:t xml:space="preserve"> Cu majorarea contului „Alte creanțe ale instituțiilor bugetare” (6,56 mil.lei), diminuarea contului „Corectarea rezultatelor anilor precedenți ale instituțiilor bugetare” (19,85 mil.lei), majorarea contului „Comanda de stat” (1,02 mil.lei). </w:t>
      </w:r>
    </w:p>
  </w:footnote>
  <w:footnote w:id="6">
    <w:p w14:paraId="3ED3E89B" w14:textId="0FEDCDF8" w:rsidR="00BA41FB" w:rsidRPr="005C1794" w:rsidRDefault="00BA41FB" w:rsidP="003E448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APL or. Râșcani: grădinița de copii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3355,4 mii lei</w:t>
      </w:r>
      <w:r>
        <w:rPr>
          <w:rFonts w:asciiTheme="majorHAnsi" w:hAnsiTheme="majorHAnsi" w:cstheme="majorHAnsi"/>
          <w:sz w:val="16"/>
          <w:szCs w:val="16"/>
          <w:lang w:val="ro-MD"/>
        </w:rPr>
        <w:t>,ș</w:t>
      </w:r>
      <w:r w:rsidRPr="005C1794">
        <w:rPr>
          <w:rFonts w:asciiTheme="majorHAnsi" w:hAnsiTheme="majorHAnsi" w:cstheme="majorHAnsi"/>
          <w:sz w:val="16"/>
          <w:szCs w:val="16"/>
          <w:lang w:val="ro-MD"/>
        </w:rPr>
        <w:t xml:space="preserve">coala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6493,8 mii lei; APL Sireț</w:t>
      </w:r>
      <w:r>
        <w:rPr>
          <w:rFonts w:asciiTheme="majorHAnsi" w:hAnsiTheme="majorHAnsi" w:cstheme="majorHAnsi"/>
          <w:sz w:val="16"/>
          <w:szCs w:val="16"/>
          <w:lang w:val="ro-MD"/>
        </w:rPr>
        <w:t>i</w:t>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 xml:space="preserve">r-nul </w:t>
      </w:r>
      <w:r w:rsidRPr="005C1794">
        <w:rPr>
          <w:rFonts w:asciiTheme="majorHAnsi" w:hAnsiTheme="majorHAnsi" w:cstheme="majorHAnsi"/>
          <w:sz w:val="16"/>
          <w:szCs w:val="16"/>
          <w:lang w:val="ro-MD"/>
        </w:rPr>
        <w:t xml:space="preserve">Strășeni: </w:t>
      </w:r>
      <w:r>
        <w:rPr>
          <w:rFonts w:asciiTheme="majorHAnsi" w:hAnsiTheme="majorHAnsi" w:cstheme="majorHAnsi"/>
          <w:sz w:val="16"/>
          <w:szCs w:val="16"/>
          <w:lang w:val="ro-MD"/>
        </w:rPr>
        <w:t>ș</w:t>
      </w:r>
      <w:r w:rsidRPr="005C1794">
        <w:rPr>
          <w:rFonts w:asciiTheme="majorHAnsi" w:hAnsiTheme="majorHAnsi" w:cstheme="majorHAnsi"/>
          <w:sz w:val="16"/>
          <w:szCs w:val="16"/>
          <w:lang w:val="ro-MD"/>
        </w:rPr>
        <w:t xml:space="preserve">coala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5622,0 mii lei.</w:t>
      </w:r>
    </w:p>
  </w:footnote>
  <w:footnote w:id="7">
    <w:p w14:paraId="1527BA5F" w14:textId="6A22596E" w:rsidR="00BA41FB" w:rsidRPr="00E95C53" w:rsidRDefault="00BA41FB">
      <w:pPr>
        <w:pStyle w:val="FootnoteText"/>
        <w:rPr>
          <w:rFonts w:asciiTheme="majorHAnsi" w:hAnsiTheme="majorHAnsi" w:cstheme="majorHAnsi"/>
          <w:sz w:val="16"/>
          <w:szCs w:val="16"/>
        </w:rPr>
      </w:pPr>
      <w:r w:rsidRPr="00E95C53">
        <w:rPr>
          <w:rStyle w:val="FootnoteReference"/>
          <w:rFonts w:asciiTheme="majorHAnsi" w:hAnsiTheme="majorHAnsi" w:cstheme="majorHAnsi"/>
          <w:sz w:val="16"/>
          <w:szCs w:val="16"/>
        </w:rPr>
        <w:footnoteRef/>
      </w:r>
      <w:r w:rsidRPr="00E95C53">
        <w:rPr>
          <w:rFonts w:asciiTheme="majorHAnsi" w:hAnsiTheme="majorHAnsi" w:cstheme="majorHAnsi"/>
          <w:sz w:val="16"/>
          <w:szCs w:val="16"/>
        </w:rPr>
        <w:t xml:space="preserve"> </w:t>
      </w:r>
      <w:r w:rsidRPr="00E95C53">
        <w:rPr>
          <w:rFonts w:asciiTheme="majorHAnsi" w:hAnsiTheme="majorHAnsi" w:cstheme="majorHAnsi"/>
          <w:sz w:val="16"/>
          <w:szCs w:val="16"/>
          <w:lang w:val="ro-MD"/>
        </w:rPr>
        <w:t xml:space="preserve">Complexul Monastic „Căpriana” </w:t>
      </w:r>
      <w:r>
        <w:rPr>
          <w:rFonts w:asciiTheme="majorHAnsi" w:hAnsiTheme="majorHAnsi" w:cstheme="majorHAnsi"/>
          <w:sz w:val="16"/>
          <w:szCs w:val="16"/>
          <w:lang w:val="ro-MD"/>
        </w:rPr>
        <w:t>–</w:t>
      </w:r>
      <w:r w:rsidRPr="00E95C53">
        <w:rPr>
          <w:rFonts w:asciiTheme="majorHAnsi" w:hAnsiTheme="majorHAnsi" w:cstheme="majorHAnsi"/>
          <w:sz w:val="16"/>
          <w:szCs w:val="16"/>
          <w:lang w:val="ro-MD"/>
        </w:rPr>
        <w:t xml:space="preserve"> 87,8 mil.lei, Complexul Monastic „Curchi” </w:t>
      </w:r>
      <w:r>
        <w:rPr>
          <w:rFonts w:asciiTheme="majorHAnsi" w:hAnsiTheme="majorHAnsi" w:cstheme="majorHAnsi"/>
          <w:sz w:val="16"/>
          <w:szCs w:val="16"/>
          <w:lang w:val="ro-MD"/>
        </w:rPr>
        <w:t>–</w:t>
      </w:r>
      <w:r w:rsidRPr="00E95C53">
        <w:rPr>
          <w:rFonts w:asciiTheme="majorHAnsi" w:hAnsiTheme="majorHAnsi" w:cstheme="majorHAnsi"/>
          <w:sz w:val="16"/>
          <w:szCs w:val="16"/>
          <w:lang w:val="ro-MD"/>
        </w:rPr>
        <w:t xml:space="preserve"> 92,5 mil.lei</w:t>
      </w:r>
      <w:r>
        <w:rPr>
          <w:rFonts w:asciiTheme="majorHAnsi" w:hAnsiTheme="majorHAnsi" w:cstheme="majorHAnsi"/>
          <w:sz w:val="16"/>
          <w:szCs w:val="16"/>
          <w:lang w:val="ro-MD"/>
        </w:rPr>
        <w:t>.</w:t>
      </w:r>
    </w:p>
  </w:footnote>
  <w:footnote w:id="8">
    <w:p w14:paraId="2329C152" w14:textId="42CDC3D3" w:rsidR="00BA41FB" w:rsidRPr="005C1794" w:rsidRDefault="00BA41FB" w:rsidP="00D540D7">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HG nr.740 din 11.06.2002 „Cu privire la edificiile și locașurile de cult”.</w:t>
      </w:r>
    </w:p>
  </w:footnote>
  <w:footnote w:id="9">
    <w:p w14:paraId="4FF46AB8" w14:textId="4ECB521C" w:rsidR="00BA41FB" w:rsidRPr="006C4F60" w:rsidRDefault="00BA41FB" w:rsidP="002D1808">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Bustul </w:t>
      </w:r>
      <w:r w:rsidRPr="006C4F60">
        <w:rPr>
          <w:rFonts w:asciiTheme="majorHAnsi" w:hAnsiTheme="majorHAnsi" w:cstheme="majorHAnsi"/>
          <w:sz w:val="16"/>
          <w:szCs w:val="16"/>
          <w:lang w:val="ro-MD"/>
        </w:rPr>
        <w:t>poetului Grigore Vieru instalat în incinta Casei-muzeu din s.Pererâta, r-nul Briceni, a Muzeului Național de Literatură „Mihail Kogălniceanu”.</w:t>
      </w:r>
    </w:p>
  </w:footnote>
  <w:footnote w:id="10">
    <w:p w14:paraId="4481E2EB" w14:textId="26E27A9F" w:rsidR="00BA41FB" w:rsidRPr="00E95C53" w:rsidRDefault="00BA41FB">
      <w:pPr>
        <w:pStyle w:val="FootnoteText"/>
        <w:rPr>
          <w:rFonts w:asciiTheme="majorHAnsi" w:hAnsiTheme="majorHAnsi" w:cstheme="majorHAnsi"/>
          <w:sz w:val="16"/>
          <w:szCs w:val="16"/>
        </w:rPr>
      </w:pPr>
      <w:r w:rsidRPr="00E95C53">
        <w:rPr>
          <w:rStyle w:val="FootnoteReference"/>
          <w:rFonts w:asciiTheme="majorHAnsi" w:hAnsiTheme="majorHAnsi" w:cstheme="majorHAnsi"/>
          <w:sz w:val="16"/>
          <w:szCs w:val="16"/>
        </w:rPr>
        <w:footnoteRef/>
      </w:r>
      <w:r>
        <w:rPr>
          <w:rFonts w:asciiTheme="majorHAnsi" w:hAnsiTheme="majorHAnsi" w:cstheme="majorHAnsi"/>
          <w:sz w:val="16"/>
          <w:szCs w:val="16"/>
          <w:lang w:val="ro-MD"/>
        </w:rPr>
        <w:t xml:space="preserve"> </w:t>
      </w:r>
      <w:r w:rsidRPr="00E95C53">
        <w:rPr>
          <w:rFonts w:asciiTheme="majorHAnsi" w:hAnsiTheme="majorHAnsi" w:cstheme="majorHAnsi"/>
          <w:sz w:val="16"/>
          <w:szCs w:val="16"/>
          <w:lang w:val="ro-MD"/>
        </w:rPr>
        <w:t xml:space="preserve">Institutul Biblioteca Ştiinţifică „Andrei Lupan” (0,14 mil.lei) și </w:t>
      </w:r>
      <w:r w:rsidRPr="00E95C53">
        <w:rPr>
          <w:rFonts w:asciiTheme="majorHAnsi" w:eastAsia="Times New Roman" w:hAnsiTheme="majorHAnsi" w:cstheme="majorHAnsi"/>
          <w:bCs/>
          <w:sz w:val="16"/>
          <w:szCs w:val="16"/>
          <w:lang w:val="ro-MD"/>
        </w:rPr>
        <w:t>Institutul de Genetică, Fiziologie și Protecție a Plantelor (0,06 mil.lei).</w:t>
      </w:r>
      <w:r w:rsidRPr="00E95C53">
        <w:rPr>
          <w:rFonts w:asciiTheme="majorHAnsi" w:hAnsiTheme="majorHAnsi" w:cstheme="majorHAnsi"/>
          <w:sz w:val="16"/>
          <w:szCs w:val="16"/>
        </w:rPr>
        <w:t xml:space="preserve"> </w:t>
      </w:r>
    </w:p>
  </w:footnote>
  <w:footnote w:id="11">
    <w:p w14:paraId="5E60973D" w14:textId="275A0EF6" w:rsidR="00BA41FB" w:rsidRPr="006C4F60" w:rsidRDefault="00BA41FB" w:rsidP="00A84AFD">
      <w:pPr>
        <w:spacing w:after="0" w:line="240" w:lineRule="auto"/>
        <w:ind w:right="-2"/>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Ordinul MF nr.216 din 28.12.2015.</w:t>
      </w:r>
    </w:p>
  </w:footnote>
  <w:footnote w:id="12">
    <w:p w14:paraId="5F6904D7" w14:textId="44A0D199" w:rsidR="00BA41FB" w:rsidRPr="003C0193" w:rsidRDefault="00BA41FB" w:rsidP="001254DB">
      <w:pPr>
        <w:pStyle w:val="FootnoteText"/>
        <w:jc w:val="both"/>
        <w:rPr>
          <w:rFonts w:asciiTheme="majorHAnsi" w:hAnsiTheme="majorHAnsi" w:cstheme="majorHAnsi"/>
          <w:sz w:val="16"/>
          <w:szCs w:val="16"/>
        </w:rPr>
      </w:pPr>
      <w:r w:rsidRPr="003C0193">
        <w:rPr>
          <w:rStyle w:val="FootnoteReference"/>
          <w:rFonts w:asciiTheme="majorHAnsi" w:hAnsiTheme="majorHAnsi" w:cstheme="majorHAnsi"/>
          <w:sz w:val="16"/>
          <w:szCs w:val="16"/>
        </w:rPr>
        <w:footnoteRef/>
      </w:r>
      <w:r w:rsidRPr="003C0193">
        <w:rPr>
          <w:rFonts w:asciiTheme="majorHAnsi" w:hAnsiTheme="majorHAnsi" w:cstheme="majorHAnsi"/>
          <w:sz w:val="16"/>
          <w:szCs w:val="16"/>
        </w:rPr>
        <w:t xml:space="preserve"> Servicii informationale (222210) </w:t>
      </w:r>
      <w:r>
        <w:rPr>
          <w:rFonts w:asciiTheme="majorHAnsi" w:hAnsiTheme="majorHAnsi" w:cstheme="majorHAnsi"/>
          <w:sz w:val="16"/>
          <w:szCs w:val="16"/>
        </w:rPr>
        <w:t>–</w:t>
      </w:r>
      <w:r w:rsidRPr="003C0193">
        <w:rPr>
          <w:rFonts w:asciiTheme="majorHAnsi" w:hAnsiTheme="majorHAnsi" w:cstheme="majorHAnsi"/>
          <w:sz w:val="16"/>
          <w:szCs w:val="16"/>
        </w:rPr>
        <w:t xml:space="preserve"> 0,20</w:t>
      </w:r>
      <w:r w:rsidRPr="003C0193">
        <w:rPr>
          <w:rFonts w:asciiTheme="majorHAnsi" w:hAnsiTheme="majorHAnsi" w:cstheme="majorHAnsi"/>
          <w:sz w:val="16"/>
          <w:szCs w:val="16"/>
          <w:lang w:val="ro-MD"/>
        </w:rPr>
        <w:t xml:space="preserve"> mil.lei; </w:t>
      </w:r>
      <w:r w:rsidRPr="003C0193">
        <w:rPr>
          <w:rFonts w:asciiTheme="majorHAnsi" w:hAnsiTheme="majorHAnsi" w:cstheme="majorHAnsi"/>
          <w:sz w:val="16"/>
          <w:szCs w:val="16"/>
        </w:rPr>
        <w:t>Servicii de cercet</w:t>
      </w:r>
      <w:r>
        <w:rPr>
          <w:rFonts w:asciiTheme="majorHAnsi" w:hAnsiTheme="majorHAnsi" w:cstheme="majorHAnsi"/>
          <w:sz w:val="16"/>
          <w:szCs w:val="16"/>
        </w:rPr>
        <w:t>ă</w:t>
      </w:r>
      <w:r w:rsidRPr="003C0193">
        <w:rPr>
          <w:rFonts w:asciiTheme="majorHAnsi" w:hAnsiTheme="majorHAnsi" w:cstheme="majorHAnsi"/>
          <w:sz w:val="16"/>
          <w:szCs w:val="16"/>
        </w:rPr>
        <w:t>ri știin</w:t>
      </w:r>
      <w:r>
        <w:rPr>
          <w:rFonts w:asciiTheme="majorHAnsi" w:hAnsiTheme="majorHAnsi" w:cstheme="majorHAnsi"/>
          <w:sz w:val="16"/>
          <w:szCs w:val="16"/>
        </w:rPr>
        <w:t>ț</w:t>
      </w:r>
      <w:r w:rsidRPr="003C0193">
        <w:rPr>
          <w:rFonts w:asciiTheme="majorHAnsi" w:hAnsiTheme="majorHAnsi" w:cstheme="majorHAnsi"/>
          <w:sz w:val="16"/>
          <w:szCs w:val="16"/>
        </w:rPr>
        <w:t>ifice contractate</w:t>
      </w:r>
      <w:r>
        <w:rPr>
          <w:rFonts w:asciiTheme="majorHAnsi" w:hAnsiTheme="majorHAnsi" w:cstheme="majorHAnsi"/>
          <w:sz w:val="16"/>
          <w:szCs w:val="16"/>
        </w:rPr>
        <w:t xml:space="preserve"> </w:t>
      </w:r>
      <w:r w:rsidRPr="003C0193">
        <w:rPr>
          <w:rFonts w:asciiTheme="majorHAnsi" w:hAnsiTheme="majorHAnsi" w:cstheme="majorHAnsi"/>
          <w:sz w:val="16"/>
          <w:szCs w:val="16"/>
        </w:rPr>
        <w:t xml:space="preserve">(222930) </w:t>
      </w:r>
      <w:r>
        <w:rPr>
          <w:rFonts w:asciiTheme="majorHAnsi" w:hAnsiTheme="majorHAnsi" w:cstheme="majorHAnsi"/>
          <w:sz w:val="16"/>
          <w:szCs w:val="16"/>
        </w:rPr>
        <w:t xml:space="preserve">– </w:t>
      </w:r>
      <w:r w:rsidRPr="003C0193">
        <w:rPr>
          <w:rFonts w:asciiTheme="majorHAnsi" w:hAnsiTheme="majorHAnsi" w:cstheme="majorHAnsi"/>
          <w:sz w:val="16"/>
          <w:szCs w:val="16"/>
        </w:rPr>
        <w:t>32,84</w:t>
      </w:r>
      <w:r w:rsidRPr="003C0193">
        <w:rPr>
          <w:rFonts w:asciiTheme="majorHAnsi" w:hAnsiTheme="majorHAnsi" w:cstheme="majorHAnsi"/>
          <w:sz w:val="16"/>
          <w:szCs w:val="16"/>
          <w:lang w:val="ro-MD"/>
        </w:rPr>
        <w:t xml:space="preserve"> mil.lei; </w:t>
      </w:r>
      <w:r w:rsidRPr="003C0193">
        <w:rPr>
          <w:rFonts w:asciiTheme="majorHAnsi" w:hAnsiTheme="majorHAnsi" w:cstheme="majorHAnsi"/>
          <w:sz w:val="16"/>
          <w:szCs w:val="16"/>
        </w:rPr>
        <w:t>Servicii neatribuite altor alin</w:t>
      </w:r>
      <w:r>
        <w:rPr>
          <w:rFonts w:asciiTheme="majorHAnsi" w:hAnsiTheme="majorHAnsi" w:cstheme="majorHAnsi"/>
          <w:sz w:val="16"/>
          <w:szCs w:val="16"/>
        </w:rPr>
        <w:t>e</w:t>
      </w:r>
      <w:r w:rsidRPr="003C0193">
        <w:rPr>
          <w:rFonts w:asciiTheme="majorHAnsi" w:hAnsiTheme="majorHAnsi" w:cstheme="majorHAnsi"/>
          <w:sz w:val="16"/>
          <w:szCs w:val="16"/>
        </w:rPr>
        <w:t xml:space="preserve">ate (222990) </w:t>
      </w:r>
      <w:r>
        <w:rPr>
          <w:rFonts w:asciiTheme="majorHAnsi" w:hAnsiTheme="majorHAnsi" w:cstheme="majorHAnsi"/>
          <w:sz w:val="16"/>
          <w:szCs w:val="16"/>
        </w:rPr>
        <w:t>–</w:t>
      </w:r>
      <w:r w:rsidRPr="003C0193">
        <w:rPr>
          <w:rFonts w:asciiTheme="majorHAnsi" w:hAnsiTheme="majorHAnsi" w:cstheme="majorHAnsi"/>
          <w:sz w:val="16"/>
          <w:szCs w:val="16"/>
        </w:rPr>
        <w:t xml:space="preserve"> 15,86</w:t>
      </w:r>
      <w:r w:rsidRPr="003C0193">
        <w:rPr>
          <w:rFonts w:asciiTheme="majorHAnsi" w:hAnsiTheme="majorHAnsi" w:cstheme="majorHAnsi"/>
          <w:sz w:val="16"/>
          <w:szCs w:val="16"/>
          <w:lang w:val="ro-MD"/>
        </w:rPr>
        <w:t xml:space="preserve"> mil.lei; </w:t>
      </w:r>
      <w:r w:rsidRPr="003C0193">
        <w:rPr>
          <w:rFonts w:asciiTheme="majorHAnsi" w:hAnsiTheme="majorHAnsi" w:cstheme="majorHAnsi"/>
          <w:sz w:val="16"/>
          <w:szCs w:val="16"/>
        </w:rPr>
        <w:t>Indemniza</w:t>
      </w:r>
      <w:r>
        <w:rPr>
          <w:rFonts w:asciiTheme="majorHAnsi" w:hAnsiTheme="majorHAnsi" w:cstheme="majorHAnsi"/>
          <w:sz w:val="16"/>
          <w:szCs w:val="16"/>
        </w:rPr>
        <w:t>ț</w:t>
      </w:r>
      <w:r w:rsidRPr="003C0193">
        <w:rPr>
          <w:rFonts w:asciiTheme="majorHAnsi" w:hAnsiTheme="majorHAnsi" w:cstheme="majorHAnsi"/>
          <w:sz w:val="16"/>
          <w:szCs w:val="16"/>
        </w:rPr>
        <w:t>ii de asisten</w:t>
      </w:r>
      <w:r>
        <w:rPr>
          <w:rFonts w:asciiTheme="majorHAnsi" w:hAnsiTheme="majorHAnsi" w:cstheme="majorHAnsi"/>
          <w:sz w:val="16"/>
          <w:szCs w:val="16"/>
        </w:rPr>
        <w:t>ță</w:t>
      </w:r>
      <w:r w:rsidRPr="003C0193">
        <w:rPr>
          <w:rFonts w:asciiTheme="majorHAnsi" w:hAnsiTheme="majorHAnsi" w:cstheme="majorHAnsi"/>
          <w:sz w:val="16"/>
          <w:szCs w:val="16"/>
        </w:rPr>
        <w:t xml:space="preserve"> </w:t>
      </w:r>
      <w:r>
        <w:rPr>
          <w:rFonts w:asciiTheme="majorHAnsi" w:hAnsiTheme="majorHAnsi" w:cstheme="majorHAnsi"/>
          <w:sz w:val="16"/>
          <w:szCs w:val="16"/>
        </w:rPr>
        <w:t xml:space="preserve">social </w:t>
      </w:r>
      <w:r w:rsidRPr="003C0193">
        <w:rPr>
          <w:rFonts w:asciiTheme="majorHAnsi" w:hAnsiTheme="majorHAnsi" w:cstheme="majorHAnsi"/>
          <w:sz w:val="16"/>
          <w:szCs w:val="16"/>
        </w:rPr>
        <w:t xml:space="preserve">(272300) </w:t>
      </w:r>
      <w:r>
        <w:rPr>
          <w:rFonts w:asciiTheme="majorHAnsi" w:hAnsiTheme="majorHAnsi" w:cstheme="majorHAnsi"/>
          <w:sz w:val="16"/>
          <w:szCs w:val="16"/>
        </w:rPr>
        <w:t>–</w:t>
      </w:r>
      <w:r w:rsidRPr="003C0193">
        <w:rPr>
          <w:rFonts w:asciiTheme="majorHAnsi" w:hAnsiTheme="majorHAnsi" w:cstheme="majorHAnsi"/>
          <w:sz w:val="16"/>
          <w:szCs w:val="16"/>
        </w:rPr>
        <w:t xml:space="preserve"> 0,12 </w:t>
      </w:r>
      <w:r w:rsidRPr="003C0193">
        <w:rPr>
          <w:rFonts w:asciiTheme="majorHAnsi" w:hAnsiTheme="majorHAnsi" w:cstheme="majorHAnsi"/>
          <w:sz w:val="16"/>
          <w:szCs w:val="16"/>
          <w:lang w:val="ro-MD"/>
        </w:rPr>
        <w:t xml:space="preserve">mil.lei; </w:t>
      </w:r>
      <w:r>
        <w:rPr>
          <w:rFonts w:asciiTheme="majorHAnsi" w:hAnsiTheme="majorHAnsi" w:cstheme="majorHAnsi"/>
          <w:sz w:val="16"/>
          <w:szCs w:val="16"/>
        </w:rPr>
        <w:t>a</w:t>
      </w:r>
      <w:r w:rsidRPr="003C0193">
        <w:rPr>
          <w:rFonts w:asciiTheme="majorHAnsi" w:hAnsiTheme="majorHAnsi" w:cstheme="majorHAnsi"/>
          <w:sz w:val="16"/>
          <w:szCs w:val="16"/>
        </w:rPr>
        <w:t>lte pl</w:t>
      </w:r>
      <w:r>
        <w:rPr>
          <w:rFonts w:asciiTheme="majorHAnsi" w:hAnsiTheme="majorHAnsi" w:cstheme="majorHAnsi"/>
          <w:sz w:val="16"/>
          <w:szCs w:val="16"/>
        </w:rPr>
        <w:t>ăț</w:t>
      </w:r>
      <w:r w:rsidRPr="003C0193">
        <w:rPr>
          <w:rFonts w:asciiTheme="majorHAnsi" w:hAnsiTheme="majorHAnsi" w:cstheme="majorHAnsi"/>
          <w:sz w:val="16"/>
          <w:szCs w:val="16"/>
        </w:rPr>
        <w:t xml:space="preserve">i asociate cu bursa (281230) </w:t>
      </w:r>
      <w:r>
        <w:rPr>
          <w:rFonts w:asciiTheme="majorHAnsi" w:hAnsiTheme="majorHAnsi" w:cstheme="majorHAnsi"/>
          <w:sz w:val="16"/>
          <w:szCs w:val="16"/>
        </w:rPr>
        <w:t xml:space="preserve">– </w:t>
      </w:r>
      <w:r w:rsidRPr="003C0193">
        <w:rPr>
          <w:rFonts w:asciiTheme="majorHAnsi" w:hAnsiTheme="majorHAnsi" w:cstheme="majorHAnsi"/>
          <w:sz w:val="16"/>
          <w:szCs w:val="16"/>
        </w:rPr>
        <w:t xml:space="preserve">0,06 </w:t>
      </w:r>
      <w:r w:rsidRPr="003C0193">
        <w:rPr>
          <w:rFonts w:asciiTheme="majorHAnsi" w:hAnsiTheme="majorHAnsi" w:cstheme="majorHAnsi"/>
          <w:sz w:val="16"/>
          <w:szCs w:val="16"/>
          <w:lang w:val="ro-MD"/>
        </w:rPr>
        <w:t xml:space="preserve">mil.lei; </w:t>
      </w:r>
      <w:r w:rsidRPr="003C0193">
        <w:rPr>
          <w:rFonts w:asciiTheme="majorHAnsi" w:hAnsiTheme="majorHAnsi" w:cstheme="majorHAnsi"/>
          <w:sz w:val="16"/>
          <w:szCs w:val="16"/>
        </w:rPr>
        <w:t xml:space="preserve">Comanda de stat pentru pregatirea cadrelor (281811) </w:t>
      </w:r>
      <w:r>
        <w:rPr>
          <w:rFonts w:asciiTheme="majorHAnsi" w:hAnsiTheme="majorHAnsi" w:cstheme="majorHAnsi"/>
          <w:sz w:val="16"/>
          <w:szCs w:val="16"/>
        </w:rPr>
        <w:t>–</w:t>
      </w:r>
      <w:r w:rsidRPr="003C0193">
        <w:rPr>
          <w:rFonts w:asciiTheme="majorHAnsi" w:hAnsiTheme="majorHAnsi" w:cstheme="majorHAnsi"/>
          <w:sz w:val="16"/>
          <w:szCs w:val="16"/>
        </w:rPr>
        <w:t xml:space="preserve"> 35,63</w:t>
      </w:r>
      <w:r w:rsidRPr="003C0193">
        <w:rPr>
          <w:rFonts w:asciiTheme="majorHAnsi" w:hAnsiTheme="majorHAnsi" w:cstheme="majorHAnsi"/>
          <w:sz w:val="16"/>
          <w:szCs w:val="16"/>
          <w:lang w:val="ro-MD"/>
        </w:rPr>
        <w:t xml:space="preserve"> mil.lei; </w:t>
      </w:r>
      <w:r w:rsidRPr="003C0193">
        <w:rPr>
          <w:rFonts w:asciiTheme="majorHAnsi" w:hAnsiTheme="majorHAnsi" w:cstheme="majorHAnsi"/>
          <w:sz w:val="16"/>
          <w:szCs w:val="16"/>
        </w:rPr>
        <w:t xml:space="preserve">Cheltuieli privind transmiterea activelor cu titlu gratuit (289200) </w:t>
      </w:r>
      <w:r>
        <w:rPr>
          <w:rFonts w:asciiTheme="majorHAnsi" w:hAnsiTheme="majorHAnsi" w:cstheme="majorHAnsi"/>
          <w:sz w:val="16"/>
          <w:szCs w:val="16"/>
        </w:rPr>
        <w:t>–</w:t>
      </w:r>
      <w:r w:rsidRPr="003C0193">
        <w:rPr>
          <w:rFonts w:asciiTheme="majorHAnsi" w:hAnsiTheme="majorHAnsi" w:cstheme="majorHAnsi"/>
          <w:sz w:val="16"/>
          <w:szCs w:val="16"/>
        </w:rPr>
        <w:t xml:space="preserve"> 18,36</w:t>
      </w:r>
      <w:r w:rsidRPr="003C0193">
        <w:rPr>
          <w:rFonts w:asciiTheme="majorHAnsi" w:hAnsiTheme="majorHAnsi" w:cstheme="majorHAnsi"/>
          <w:sz w:val="16"/>
          <w:szCs w:val="16"/>
          <w:lang w:val="ro-MD"/>
        </w:rPr>
        <w:t xml:space="preserve"> mil.lei.</w:t>
      </w:r>
    </w:p>
  </w:footnote>
  <w:footnote w:id="13">
    <w:p w14:paraId="3C0D1ED5" w14:textId="2D98739F" w:rsidR="00BA41FB" w:rsidRPr="006C4F60" w:rsidRDefault="00BA41FB" w:rsidP="001254DB">
      <w:pPr>
        <w:pStyle w:val="FootnoteText"/>
        <w:jc w:val="both"/>
        <w:rPr>
          <w:rFonts w:asciiTheme="majorHAnsi" w:eastAsia="Times New Roman" w:hAnsiTheme="majorHAnsi" w:cstheme="majorHAnsi"/>
          <w:bCs/>
          <w:iCs/>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Diminuarea conturilor: </w:t>
      </w:r>
      <w:r w:rsidRPr="005C1794">
        <w:rPr>
          <w:rFonts w:asciiTheme="majorHAnsi" w:eastAsia="Times New Roman" w:hAnsiTheme="majorHAnsi" w:cstheme="majorHAnsi"/>
          <w:bCs/>
          <w:iCs/>
          <w:sz w:val="16"/>
          <w:szCs w:val="16"/>
          <w:lang w:val="ro-MD"/>
        </w:rPr>
        <w:t xml:space="preserve">„Clădiri” (15,13 mil.lei), „Mijloace de transport” (0,003 mil.lei), „Unelte și scule, inventar de producere și gospodăresc” (0,52 mil.lei), </w:t>
      </w:r>
      <w:r w:rsidRPr="006C4F60">
        <w:rPr>
          <w:rFonts w:asciiTheme="majorHAnsi" w:eastAsia="Times New Roman" w:hAnsiTheme="majorHAnsi" w:cstheme="majorHAnsi"/>
          <w:bCs/>
          <w:iCs/>
          <w:sz w:val="16"/>
          <w:szCs w:val="16"/>
          <w:lang w:val="ro-MD"/>
        </w:rPr>
        <w:t>„Active nemateriale” (0,19 mil.lei), „Investiții capitale în active în curs de execuție” (1,57 mil.lei), „Piese de schimb” (0,003 mil.lei), „Materiale de uz gospodăresc și rechizite de birou” (0,06 mil.lei), „Materiale de construcție” (0,006 mil.lei),</w:t>
      </w:r>
      <w:r>
        <w:rPr>
          <w:rFonts w:asciiTheme="majorHAnsi" w:eastAsia="Times New Roman" w:hAnsiTheme="majorHAnsi" w:cstheme="majorHAnsi"/>
          <w:bCs/>
          <w:iCs/>
          <w:sz w:val="16"/>
          <w:szCs w:val="16"/>
          <w:lang w:val="ro-MD"/>
        </w:rPr>
        <w:t xml:space="preserve"> </w:t>
      </w:r>
      <w:r w:rsidRPr="006C4F60">
        <w:rPr>
          <w:rFonts w:asciiTheme="majorHAnsi" w:eastAsia="Times New Roman" w:hAnsiTheme="majorHAnsi" w:cstheme="majorHAnsi"/>
          <w:bCs/>
          <w:iCs/>
          <w:sz w:val="16"/>
          <w:szCs w:val="16"/>
          <w:lang w:val="ro-MD"/>
        </w:rPr>
        <w:t>„Alte materiale” (0,003 mil.lei), „Activele moștenirii culturale” (3,67 mil.lei), „Terenuri” (0,002 mil.lei). Majorarea conturilor: „Construcții speciale” (15,55 mil.lei), „Instalații de transmisie” (1,04 mil.lei), „Mașini și utilaje” (0,55 mil.lei), „Alte mijloace fixe” (4,02 mil.lei).</w:t>
      </w:r>
    </w:p>
  </w:footnote>
  <w:footnote w:id="14">
    <w:p w14:paraId="6588FBE2" w14:textId="59E88578" w:rsidR="00BA41FB" w:rsidRPr="005C1794" w:rsidRDefault="00BA41FB" w:rsidP="00414134">
      <w:pPr>
        <w:pStyle w:val="FootnoteText"/>
        <w:jc w:val="both"/>
        <w:rPr>
          <w:rFonts w:asciiTheme="majorHAnsi" w:hAnsiTheme="majorHAnsi" w:cstheme="majorHAnsi"/>
          <w:sz w:val="16"/>
          <w:szCs w:val="16"/>
          <w:lang w:val="ro-MD"/>
        </w:rPr>
      </w:pPr>
      <w:r w:rsidRPr="005C1794">
        <w:rPr>
          <w:rFonts w:asciiTheme="majorHAnsi" w:hAnsiTheme="majorHAnsi" w:cstheme="majorHAnsi"/>
          <w:sz w:val="16"/>
          <w:szCs w:val="16"/>
          <w:vertAlign w:val="superscript"/>
          <w:lang w:val="ro-MD"/>
        </w:rPr>
        <w:footnoteRef/>
      </w:r>
      <w:r w:rsidRPr="005C1794">
        <w:rPr>
          <w:rFonts w:asciiTheme="majorHAnsi" w:hAnsiTheme="majorHAnsi" w:cstheme="majorHAnsi"/>
          <w:sz w:val="16"/>
          <w:szCs w:val="16"/>
          <w:lang w:val="ro-MD"/>
        </w:rPr>
        <w:t xml:space="preserve"> Hotărârea Curții de Conturi nr.2 din 24.01.2020 „Cu privire la Cadrul Declarațiilor Profesionale ale INTOSAI”</w:t>
      </w:r>
      <w:r>
        <w:rPr>
          <w:rFonts w:asciiTheme="majorHAnsi" w:hAnsiTheme="majorHAnsi" w:cstheme="majorHAnsi"/>
          <w:sz w:val="16"/>
          <w:szCs w:val="16"/>
          <w:lang w:val="ro-MD"/>
        </w:rPr>
        <w:t>.</w:t>
      </w:r>
    </w:p>
  </w:footnote>
  <w:footnote w:id="15">
    <w:p w14:paraId="042A32B0" w14:textId="427D508F" w:rsidR="00BA41FB" w:rsidRPr="005C1794" w:rsidRDefault="00BA41FB" w:rsidP="0041413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P</w:t>
      </w:r>
      <w:r w:rsidRPr="005C1794">
        <w:rPr>
          <w:rFonts w:asciiTheme="majorHAnsi" w:hAnsiTheme="majorHAnsi" w:cstheme="majorHAnsi"/>
          <w:sz w:val="16"/>
          <w:szCs w:val="16"/>
          <w:lang w:val="ro-MD"/>
        </w:rPr>
        <w:t xml:space="preserve">ct.9 din Nota la Tabelul </w:t>
      </w:r>
      <w:r>
        <w:rPr>
          <w:rFonts w:asciiTheme="majorHAnsi" w:hAnsiTheme="majorHAnsi" w:cstheme="majorHAnsi"/>
          <w:sz w:val="16"/>
          <w:szCs w:val="16"/>
          <w:lang w:val="ro-MD"/>
        </w:rPr>
        <w:t>nr.</w:t>
      </w:r>
      <w:r w:rsidRPr="005C1794">
        <w:rPr>
          <w:rFonts w:asciiTheme="majorHAnsi" w:hAnsiTheme="majorHAnsi" w:cstheme="majorHAnsi"/>
          <w:sz w:val="16"/>
          <w:szCs w:val="16"/>
          <w:lang w:val="ro-MD"/>
        </w:rPr>
        <w:t>2 „Funcționarii publici (A2)” din Legea nr.270 din 23.11.2018</w:t>
      </w:r>
      <w:r w:rsidR="007524BE" w:rsidRPr="007524BE">
        <w:rPr>
          <w:rFonts w:asciiTheme="majorHAnsi" w:hAnsiTheme="majorHAnsi" w:cstheme="majorHAnsi"/>
          <w:sz w:val="16"/>
          <w:szCs w:val="16"/>
          <w:lang w:val="ro-MD"/>
        </w:rPr>
        <w:t xml:space="preserve"> „Privind sistemul unitar de salarizare în sectorul bugetar” (în continuare</w:t>
      </w:r>
      <w:r w:rsidR="007524BE">
        <w:rPr>
          <w:rFonts w:asciiTheme="majorHAnsi" w:hAnsiTheme="majorHAnsi" w:cstheme="majorHAnsi"/>
          <w:sz w:val="16"/>
          <w:szCs w:val="16"/>
          <w:lang w:val="ro-MD"/>
        </w:rPr>
        <w:t xml:space="preserve"> -</w:t>
      </w:r>
      <w:r w:rsidR="007524BE" w:rsidRPr="007524BE">
        <w:rPr>
          <w:rFonts w:asciiTheme="majorHAnsi" w:hAnsiTheme="majorHAnsi" w:cstheme="majorHAnsi"/>
          <w:sz w:val="16"/>
          <w:szCs w:val="16"/>
          <w:lang w:val="ro-MD"/>
        </w:rPr>
        <w:t xml:space="preserve"> Legea nr.270 din 23.11.2018)</w:t>
      </w:r>
      <w:r w:rsidRPr="005C1794">
        <w:rPr>
          <w:rFonts w:asciiTheme="majorHAnsi" w:hAnsiTheme="majorHAnsi" w:cstheme="majorHAnsi"/>
          <w:sz w:val="16"/>
          <w:szCs w:val="16"/>
          <w:lang w:val="ro-MD"/>
        </w:rPr>
        <w:t>; art.2 alin. 4) lit.b) din HG nr.1231 din 12.12.2018.</w:t>
      </w:r>
    </w:p>
  </w:footnote>
  <w:footnote w:id="16">
    <w:p w14:paraId="71FF9C35" w14:textId="043815A3" w:rsidR="00BA41FB" w:rsidRPr="005C1794" w:rsidRDefault="00BA41FB" w:rsidP="0041413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A</w:t>
      </w:r>
      <w:r w:rsidRPr="005C1794">
        <w:rPr>
          <w:rFonts w:asciiTheme="majorHAnsi" w:hAnsiTheme="majorHAnsi" w:cstheme="majorHAnsi"/>
          <w:sz w:val="16"/>
          <w:szCs w:val="16"/>
          <w:lang w:val="ro-MD"/>
        </w:rPr>
        <w:t>rt.26 alin.(3) și alin.(7) din Legea nr.330-XIV din 25.03.1999.</w:t>
      </w:r>
    </w:p>
  </w:footnote>
  <w:footnote w:id="17">
    <w:p w14:paraId="76188062" w14:textId="5B88221A" w:rsidR="00BA41FB" w:rsidRPr="005C1794" w:rsidRDefault="00BA41FB" w:rsidP="0041413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Liceul Teoretic Republican „Ion Creangă” din mun. Bălți – 7,4 mii lei; LT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Lucian Blaga</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din or.Tiraspol – 0,51 mii lei.</w:t>
      </w:r>
    </w:p>
  </w:footnote>
  <w:footnote w:id="18">
    <w:p w14:paraId="2502156E" w14:textId="18F6D85E" w:rsidR="00BA41FB" w:rsidRPr="005C1794" w:rsidRDefault="00BA41FB" w:rsidP="0041413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sidR="00E83709">
        <w:rPr>
          <w:rFonts w:asciiTheme="majorHAnsi" w:hAnsiTheme="majorHAnsi" w:cstheme="majorHAnsi"/>
          <w:sz w:val="16"/>
          <w:szCs w:val="16"/>
          <w:lang w:val="ro-MD"/>
        </w:rPr>
        <w:t>Ș</w:t>
      </w:r>
      <w:r w:rsidR="00E83709" w:rsidRPr="00E83709">
        <w:rPr>
          <w:rFonts w:asciiTheme="majorHAnsi" w:hAnsiTheme="majorHAnsi" w:cstheme="majorHAnsi"/>
          <w:sz w:val="16"/>
          <w:szCs w:val="16"/>
          <w:lang w:val="ro-MD"/>
        </w:rPr>
        <w:t>coala sportiv</w:t>
      </w:r>
      <w:r w:rsidR="00E83709">
        <w:rPr>
          <w:rFonts w:asciiTheme="majorHAnsi" w:hAnsiTheme="majorHAnsi" w:cstheme="majorHAnsi"/>
          <w:sz w:val="16"/>
          <w:szCs w:val="16"/>
          <w:lang w:val="ro-MD"/>
        </w:rPr>
        <w:t>ă</w:t>
      </w:r>
      <w:r w:rsidR="00E83709" w:rsidRPr="00E83709">
        <w:rPr>
          <w:rFonts w:asciiTheme="majorHAnsi" w:hAnsiTheme="majorHAnsi" w:cstheme="majorHAnsi"/>
          <w:sz w:val="16"/>
          <w:szCs w:val="16"/>
          <w:lang w:val="ro-MD"/>
        </w:rPr>
        <w:t xml:space="preserve"> specializat</w:t>
      </w:r>
      <w:r w:rsidR="00E83709">
        <w:rPr>
          <w:rFonts w:asciiTheme="majorHAnsi" w:hAnsiTheme="majorHAnsi" w:cstheme="majorHAnsi"/>
          <w:sz w:val="16"/>
          <w:szCs w:val="16"/>
          <w:lang w:val="ro-MD"/>
        </w:rPr>
        <w:t>ă de</w:t>
      </w:r>
      <w:r w:rsidRPr="005C1794">
        <w:rPr>
          <w:rFonts w:asciiTheme="majorHAnsi" w:hAnsiTheme="majorHAnsi" w:cstheme="majorHAnsi"/>
          <w:sz w:val="16"/>
          <w:szCs w:val="16"/>
          <w:lang w:val="ro-MD"/>
        </w:rPr>
        <w:t xml:space="preserve"> judo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Oleg Cre</w:t>
      </w:r>
      <w:r>
        <w:rPr>
          <w:rFonts w:asciiTheme="majorHAnsi" w:hAnsiTheme="majorHAnsi" w:cstheme="majorHAnsi"/>
          <w:sz w:val="16"/>
          <w:szCs w:val="16"/>
          <w:lang w:val="ro-MD"/>
        </w:rPr>
        <w:t>ț</w:t>
      </w:r>
      <w:r w:rsidRPr="005C1794">
        <w:rPr>
          <w:rFonts w:asciiTheme="majorHAnsi" w:hAnsiTheme="majorHAnsi" w:cstheme="majorHAnsi"/>
          <w:sz w:val="16"/>
          <w:szCs w:val="16"/>
          <w:lang w:val="ro-MD"/>
        </w:rPr>
        <w:t>ul</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mun.Chi</w:t>
      </w:r>
      <w:r>
        <w:rPr>
          <w:rFonts w:asciiTheme="majorHAnsi" w:hAnsiTheme="majorHAnsi" w:cstheme="majorHAnsi"/>
          <w:sz w:val="16"/>
          <w:szCs w:val="16"/>
          <w:lang w:val="ro-MD"/>
        </w:rPr>
        <w:t>ș</w:t>
      </w:r>
      <w:r w:rsidRPr="005C1794">
        <w:rPr>
          <w:rFonts w:asciiTheme="majorHAnsi" w:hAnsiTheme="majorHAnsi" w:cstheme="majorHAnsi"/>
          <w:sz w:val="16"/>
          <w:szCs w:val="16"/>
          <w:lang w:val="ro-MD"/>
        </w:rPr>
        <w:t>in</w:t>
      </w:r>
      <w:r>
        <w:rPr>
          <w:rFonts w:asciiTheme="majorHAnsi" w:hAnsiTheme="majorHAnsi" w:cstheme="majorHAnsi"/>
          <w:sz w:val="16"/>
          <w:szCs w:val="16"/>
          <w:lang w:val="ro-MD"/>
        </w:rPr>
        <w:t>ă</w:t>
      </w:r>
      <w:r w:rsidRPr="005C1794">
        <w:rPr>
          <w:rFonts w:asciiTheme="majorHAnsi" w:hAnsiTheme="majorHAnsi" w:cstheme="majorHAnsi"/>
          <w:sz w:val="16"/>
          <w:szCs w:val="16"/>
          <w:lang w:val="ro-MD"/>
        </w:rPr>
        <w:t>u.</w:t>
      </w:r>
    </w:p>
  </w:footnote>
  <w:footnote w:id="19">
    <w:p w14:paraId="21CC2EFF" w14:textId="2BB053A7" w:rsidR="00BA41FB" w:rsidRPr="005C1794" w:rsidRDefault="00BA41FB" w:rsidP="00BA41FB">
      <w:pPr>
        <w:pStyle w:val="FootnoteText"/>
        <w:jc w:val="both"/>
        <w:rPr>
          <w:rFonts w:asciiTheme="majorHAnsi" w:hAnsiTheme="majorHAnsi" w:cstheme="majorHAnsi"/>
          <w:sz w:val="16"/>
          <w:szCs w:val="16"/>
        </w:rPr>
      </w:pPr>
      <w:r w:rsidRPr="005C1794">
        <w:rPr>
          <w:rStyle w:val="FootnoteReference"/>
          <w:rFonts w:asciiTheme="majorHAnsi" w:hAnsiTheme="majorHAnsi" w:cstheme="majorHAnsi"/>
          <w:sz w:val="16"/>
          <w:szCs w:val="16"/>
        </w:rPr>
        <w:footnoteRef/>
      </w:r>
      <w:r w:rsidRPr="005C1794">
        <w:rPr>
          <w:rFonts w:asciiTheme="majorHAnsi" w:hAnsiTheme="majorHAnsi" w:cstheme="majorHAnsi"/>
          <w:sz w:val="16"/>
          <w:szCs w:val="16"/>
        </w:rPr>
        <w:t xml:space="preserve"> </w:t>
      </w:r>
      <w:r>
        <w:rPr>
          <w:rFonts w:asciiTheme="majorHAnsi" w:hAnsiTheme="majorHAnsi" w:cstheme="majorHAnsi"/>
          <w:sz w:val="16"/>
          <w:szCs w:val="16"/>
        </w:rPr>
        <w:t>A</w:t>
      </w:r>
      <w:r w:rsidRPr="005C1794">
        <w:rPr>
          <w:rFonts w:asciiTheme="majorHAnsi" w:hAnsiTheme="majorHAnsi" w:cstheme="majorHAnsi"/>
          <w:sz w:val="16"/>
          <w:szCs w:val="16"/>
        </w:rPr>
        <w:t>rt.23 din Legea nr.270 din 23.11.2018</w:t>
      </w:r>
      <w:r>
        <w:rPr>
          <w:rFonts w:asciiTheme="majorHAnsi" w:hAnsiTheme="majorHAnsi" w:cstheme="majorHAnsi"/>
          <w:sz w:val="16"/>
          <w:szCs w:val="16"/>
        </w:rPr>
        <w:t>.</w:t>
      </w:r>
    </w:p>
  </w:footnote>
  <w:footnote w:id="20">
    <w:p w14:paraId="5BFCF11B" w14:textId="7B18E0D3" w:rsidR="00BA41FB" w:rsidRPr="006C4F60" w:rsidRDefault="00BA41FB" w:rsidP="0041413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Liceul Teoretic Republican „Ion Creangă” din mun. Bălți – 16,83 mii lei; LT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Lucian Blaga</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din or.Tiraspol – 30,6 mii lei; LT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Evrika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din or.R</w:t>
      </w:r>
      <w:r>
        <w:rPr>
          <w:rFonts w:asciiTheme="majorHAnsi" w:hAnsiTheme="majorHAnsi" w:cstheme="majorHAnsi"/>
          <w:sz w:val="16"/>
          <w:szCs w:val="16"/>
          <w:lang w:val="ro-MD"/>
        </w:rPr>
        <w:t>â</w:t>
      </w:r>
      <w:r w:rsidRPr="005C1794">
        <w:rPr>
          <w:rFonts w:asciiTheme="majorHAnsi" w:hAnsiTheme="majorHAnsi" w:cstheme="majorHAnsi"/>
          <w:sz w:val="16"/>
          <w:szCs w:val="16"/>
          <w:lang w:val="ro-MD"/>
        </w:rPr>
        <w:t xml:space="preserve">bnița – 6,38 mii lei; LT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Ștefan cel </w:t>
      </w:r>
      <w:r w:rsidRPr="00E83709">
        <w:rPr>
          <w:rFonts w:asciiTheme="majorHAnsi" w:hAnsiTheme="majorHAnsi" w:cstheme="majorHAnsi"/>
          <w:sz w:val="16"/>
          <w:szCs w:val="16"/>
          <w:lang w:val="ro-MD"/>
        </w:rPr>
        <w:t xml:space="preserve">Mare” din or.Grigoriopol – 27,8 mii lei; LT „Alexandru cel Bun” din or.Bender – 75,98 mii lei; SSS de tenis, mun. Chișinău – 13,86 mii lei; </w:t>
      </w:r>
      <w:r w:rsidR="00E83709" w:rsidRPr="00E83709">
        <w:rPr>
          <w:rFonts w:asciiTheme="majorHAnsi" w:hAnsiTheme="majorHAnsi" w:cstheme="majorHAnsi"/>
          <w:sz w:val="16"/>
          <w:szCs w:val="16"/>
          <w:lang w:val="ro-MD"/>
        </w:rPr>
        <w:t>Școala sportivă specializată</w:t>
      </w:r>
      <w:r w:rsidRPr="00E83709">
        <w:rPr>
          <w:rFonts w:asciiTheme="majorHAnsi" w:hAnsiTheme="majorHAnsi" w:cstheme="majorHAnsi"/>
          <w:sz w:val="16"/>
          <w:szCs w:val="16"/>
          <w:lang w:val="ro-MD"/>
        </w:rPr>
        <w:t xml:space="preserve"> de lupte </w:t>
      </w:r>
      <w:r w:rsidR="00E83709" w:rsidRPr="00E83709">
        <w:rPr>
          <w:rFonts w:asciiTheme="majorHAnsi" w:hAnsiTheme="majorHAnsi" w:cstheme="majorHAnsi"/>
          <w:sz w:val="16"/>
          <w:szCs w:val="16"/>
          <w:lang w:val="ro-MD"/>
        </w:rPr>
        <w:t>„A.</w:t>
      </w:r>
      <w:r w:rsidRPr="00E83709">
        <w:rPr>
          <w:rFonts w:asciiTheme="majorHAnsi" w:hAnsiTheme="majorHAnsi" w:cstheme="majorHAnsi"/>
          <w:sz w:val="16"/>
          <w:szCs w:val="16"/>
          <w:lang w:val="ro-MD"/>
        </w:rPr>
        <w:t>Doga</w:t>
      </w:r>
      <w:r w:rsidR="00E83709" w:rsidRPr="00E83709">
        <w:rPr>
          <w:rFonts w:asciiTheme="majorHAnsi" w:hAnsiTheme="majorHAnsi" w:cstheme="majorHAnsi"/>
          <w:sz w:val="16"/>
          <w:szCs w:val="16"/>
          <w:lang w:val="ro-MD"/>
        </w:rPr>
        <w:t>”</w:t>
      </w:r>
      <w:r w:rsidRPr="00E83709">
        <w:rPr>
          <w:rFonts w:asciiTheme="majorHAnsi" w:hAnsiTheme="majorHAnsi" w:cstheme="majorHAnsi"/>
          <w:sz w:val="16"/>
          <w:szCs w:val="16"/>
          <w:lang w:val="ro-MD"/>
        </w:rPr>
        <w:t xml:space="preserve"> – 0,41 mii lei; </w:t>
      </w:r>
      <w:r w:rsidR="00E83709" w:rsidRPr="00E83709">
        <w:rPr>
          <w:rFonts w:asciiTheme="majorHAnsi" w:hAnsiTheme="majorHAnsi" w:cstheme="majorHAnsi"/>
          <w:sz w:val="16"/>
          <w:szCs w:val="16"/>
          <w:lang w:val="ro-MD"/>
        </w:rPr>
        <w:t>Școala sportivă specializată de</w:t>
      </w:r>
      <w:r w:rsidRPr="00E83709">
        <w:rPr>
          <w:rFonts w:asciiTheme="majorHAnsi" w:hAnsiTheme="majorHAnsi" w:cstheme="majorHAnsi"/>
          <w:sz w:val="16"/>
          <w:szCs w:val="16"/>
          <w:lang w:val="ro-MD"/>
        </w:rPr>
        <w:t xml:space="preserve"> judo „Oleg Crețul”, mun.Chișinău – 16,51 mii lei; </w:t>
      </w:r>
      <w:r w:rsidR="00E83709" w:rsidRPr="00E83709">
        <w:rPr>
          <w:rFonts w:asciiTheme="majorHAnsi" w:hAnsiTheme="majorHAnsi" w:cstheme="majorHAnsi"/>
          <w:sz w:val="16"/>
          <w:szCs w:val="16"/>
          <w:lang w:val="ro-MD"/>
        </w:rPr>
        <w:t>Școala sportivă specializată</w:t>
      </w:r>
      <w:r w:rsidRPr="00E83709">
        <w:rPr>
          <w:rFonts w:asciiTheme="majorHAnsi" w:hAnsiTheme="majorHAnsi" w:cstheme="majorHAnsi"/>
          <w:sz w:val="16"/>
          <w:szCs w:val="16"/>
          <w:lang w:val="ro-MD"/>
        </w:rPr>
        <w:t xml:space="preserve"> de caiac-canoe, mun Chișinău – 16,14 mii lei.</w:t>
      </w:r>
    </w:p>
  </w:footnote>
  <w:footnote w:id="21">
    <w:p w14:paraId="11BA71FA" w14:textId="1EBA2B71" w:rsidR="00BA41FB" w:rsidRPr="005C1794" w:rsidRDefault="00BA41FB" w:rsidP="00D540D7">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Liceul Teoretic Republican „Ion Creangă” din mun. Bălți</w:t>
      </w:r>
      <w:r>
        <w:rPr>
          <w:rFonts w:asciiTheme="majorHAnsi" w:hAnsiTheme="majorHAnsi" w:cstheme="majorHAnsi"/>
          <w:sz w:val="16"/>
          <w:szCs w:val="16"/>
          <w:lang w:val="ro-MD"/>
        </w:rPr>
        <w:t>.</w:t>
      </w:r>
    </w:p>
  </w:footnote>
  <w:footnote w:id="22">
    <w:p w14:paraId="38B33D24" w14:textId="77777777" w:rsidR="00BA41FB" w:rsidRPr="005C1794" w:rsidRDefault="00BA41FB" w:rsidP="00D540D7">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175,07 mii lei pentru Licee și 48,95 mii lei pentru Școli sportive.</w:t>
      </w:r>
    </w:p>
  </w:footnote>
  <w:footnote w:id="23">
    <w:p w14:paraId="4F3D6631" w14:textId="3B4A454B" w:rsidR="00BA41FB" w:rsidRPr="006C4F60" w:rsidRDefault="00BA41FB" w:rsidP="00D540D7">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A</w:t>
      </w:r>
      <w:r w:rsidRPr="005C1794">
        <w:rPr>
          <w:rFonts w:asciiTheme="majorHAnsi" w:hAnsiTheme="majorHAnsi" w:cstheme="majorHAnsi"/>
          <w:sz w:val="16"/>
          <w:szCs w:val="16"/>
          <w:lang w:val="ro-MD"/>
        </w:rPr>
        <w:t>rt.12 alin.(9), art.24 alin.(1) și pct.18 din Note</w:t>
      </w:r>
      <w:r>
        <w:rPr>
          <w:rFonts w:asciiTheme="majorHAnsi" w:hAnsiTheme="majorHAnsi" w:cstheme="majorHAnsi"/>
          <w:sz w:val="16"/>
          <w:szCs w:val="16"/>
          <w:lang w:val="ro-MD"/>
        </w:rPr>
        <w:t>le</w:t>
      </w:r>
      <w:r w:rsidRPr="005C1794">
        <w:rPr>
          <w:rFonts w:asciiTheme="majorHAnsi" w:hAnsiTheme="majorHAnsi" w:cstheme="majorHAnsi"/>
          <w:sz w:val="16"/>
          <w:szCs w:val="16"/>
          <w:lang w:val="ro-MD"/>
        </w:rPr>
        <w:t xml:space="preserve"> la Anexa nr.7 din Legea nr.270 din 23.11.2018; art.132 alin.(1) din Codul </w:t>
      </w:r>
      <w:r>
        <w:rPr>
          <w:rFonts w:asciiTheme="majorHAnsi" w:hAnsiTheme="majorHAnsi" w:cstheme="majorHAnsi"/>
          <w:sz w:val="16"/>
          <w:szCs w:val="16"/>
          <w:lang w:val="ro-MD"/>
        </w:rPr>
        <w:t>e</w:t>
      </w:r>
      <w:r w:rsidRPr="005C1794">
        <w:rPr>
          <w:rFonts w:asciiTheme="majorHAnsi" w:hAnsiTheme="majorHAnsi" w:cstheme="majorHAnsi"/>
          <w:sz w:val="16"/>
          <w:szCs w:val="16"/>
          <w:lang w:val="ro-MD"/>
        </w:rPr>
        <w:t xml:space="preserve">ducației; pct.3 din Anexa nr.6 la </w:t>
      </w:r>
      <w:r w:rsidRPr="006C4F60">
        <w:rPr>
          <w:rFonts w:asciiTheme="majorHAnsi" w:hAnsiTheme="majorHAnsi" w:cstheme="majorHAnsi"/>
          <w:sz w:val="16"/>
          <w:szCs w:val="16"/>
          <w:lang w:val="ro-MD"/>
        </w:rPr>
        <w:t>HG nr.1231 din 12.12.2018 „Pentru punerea în aplicare a prevederilor Legii nr.270</w:t>
      </w:r>
      <w:r w:rsidR="00745904">
        <w:rPr>
          <w:rFonts w:asciiTheme="majorHAnsi" w:hAnsiTheme="majorHAnsi" w:cstheme="majorHAnsi"/>
          <w:sz w:val="16"/>
          <w:szCs w:val="16"/>
          <w:lang w:val="ro-MD"/>
        </w:rPr>
        <w:t xml:space="preserve"> din 23.11.</w:t>
      </w:r>
      <w:r w:rsidR="00745904" w:rsidRPr="006C4F60">
        <w:rPr>
          <w:rFonts w:asciiTheme="majorHAnsi" w:hAnsiTheme="majorHAnsi" w:cstheme="majorHAnsi"/>
          <w:sz w:val="16"/>
          <w:szCs w:val="16"/>
          <w:lang w:val="ro-MD"/>
        </w:rPr>
        <w:t>2018</w:t>
      </w:r>
      <w:r w:rsidRPr="006C4F60">
        <w:rPr>
          <w:rFonts w:asciiTheme="majorHAnsi" w:hAnsiTheme="majorHAnsi" w:cstheme="majorHAnsi"/>
          <w:sz w:val="16"/>
          <w:szCs w:val="16"/>
          <w:lang w:val="ro-MD"/>
        </w:rPr>
        <w:t xml:space="preserve"> privind sistemul unitar de salarizare în sectorul bugetar”.</w:t>
      </w:r>
    </w:p>
  </w:footnote>
  <w:footnote w:id="24">
    <w:p w14:paraId="040BF8B3" w14:textId="0DB2914D" w:rsidR="00BA41FB" w:rsidRPr="006C4F60" w:rsidRDefault="00BA41FB" w:rsidP="00D540D7">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Pct.14 din Regulamentul privind autoevaluarea, raportarea sistemului de control intern managerial și emiterea Declarației de răspundere managerială, aprobat prin Ordinul ministrului finanțelor nr.4 din 09.01.2019 (în continuare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Regu</w:t>
      </w:r>
      <w:r w:rsidRPr="006C4F60">
        <w:rPr>
          <w:rFonts w:asciiTheme="majorHAnsi" w:hAnsiTheme="majorHAnsi" w:cstheme="majorHAnsi"/>
          <w:sz w:val="16"/>
          <w:szCs w:val="16"/>
          <w:lang w:val="ro-MD"/>
        </w:rPr>
        <w:t>lamentul aprobat prin Ordinul MF nr.4 din 09.01.2019).</w:t>
      </w:r>
    </w:p>
  </w:footnote>
  <w:footnote w:id="25">
    <w:p w14:paraId="5A50AE9D" w14:textId="4855B3C1" w:rsidR="00BA41FB" w:rsidRPr="005C1794" w:rsidRDefault="00BA41FB" w:rsidP="00D540D7">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Pct.30 din Regulamentul aprobat prin Ordinul MF nr.4 din 09.01.2019.</w:t>
      </w:r>
    </w:p>
  </w:footnote>
  <w:footnote w:id="26">
    <w:p w14:paraId="0AE60210" w14:textId="44BE3458" w:rsidR="00BA41FB" w:rsidRPr="006C4F60"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sidRPr="005C1794">
        <w:rPr>
          <w:rFonts w:asciiTheme="majorHAnsi" w:hAnsiTheme="majorHAnsi" w:cstheme="majorHAnsi"/>
          <w:iCs/>
          <w:sz w:val="16"/>
          <w:szCs w:val="16"/>
          <w:lang w:val="ro-MD"/>
        </w:rPr>
        <w:t>Spre exemplu, la Universitatea de Stat din Comrat</w:t>
      </w:r>
      <w:r>
        <w:rPr>
          <w:rFonts w:asciiTheme="majorHAnsi" w:hAnsiTheme="majorHAnsi" w:cstheme="majorHAnsi"/>
          <w:iCs/>
          <w:sz w:val="16"/>
          <w:szCs w:val="16"/>
          <w:lang w:val="ro-MD"/>
        </w:rPr>
        <w:t>,</w:t>
      </w:r>
      <w:r w:rsidRPr="005C1794">
        <w:rPr>
          <w:rFonts w:asciiTheme="majorHAnsi" w:hAnsiTheme="majorHAnsi" w:cstheme="majorHAnsi"/>
          <w:iCs/>
          <w:sz w:val="16"/>
          <w:szCs w:val="16"/>
          <w:lang w:val="ro-MD"/>
        </w:rPr>
        <w:t xml:space="preserve"> din 22 de programe de studii pentru ciclul I „Licența”</w:t>
      </w:r>
      <w:r>
        <w:rPr>
          <w:rFonts w:asciiTheme="majorHAnsi" w:hAnsiTheme="majorHAnsi" w:cstheme="majorHAnsi"/>
          <w:iCs/>
          <w:sz w:val="16"/>
          <w:szCs w:val="16"/>
          <w:lang w:val="ro-MD"/>
        </w:rPr>
        <w:t>,</w:t>
      </w:r>
      <w:r w:rsidRPr="005C1794">
        <w:rPr>
          <w:rFonts w:asciiTheme="majorHAnsi" w:hAnsiTheme="majorHAnsi" w:cstheme="majorHAnsi"/>
          <w:iCs/>
          <w:sz w:val="16"/>
          <w:szCs w:val="16"/>
          <w:lang w:val="ro-MD"/>
        </w:rPr>
        <w:t xml:space="preserve"> 9 nu au fost acreditate, sau 40,9%,</w:t>
      </w:r>
      <w:r>
        <w:rPr>
          <w:rFonts w:asciiTheme="majorHAnsi" w:hAnsiTheme="majorHAnsi" w:cstheme="majorHAnsi"/>
          <w:iCs/>
          <w:sz w:val="16"/>
          <w:szCs w:val="16"/>
          <w:lang w:val="ro-MD"/>
        </w:rPr>
        <w:t xml:space="preserve"> </w:t>
      </w:r>
      <w:r w:rsidRPr="005C1794">
        <w:rPr>
          <w:rFonts w:asciiTheme="majorHAnsi" w:hAnsiTheme="majorHAnsi" w:cstheme="majorHAnsi"/>
          <w:iCs/>
          <w:sz w:val="16"/>
          <w:szCs w:val="16"/>
          <w:lang w:val="ro-MD"/>
        </w:rPr>
        <w:t>iar la ciclul II „Master</w:t>
      </w:r>
      <w:r>
        <w:rPr>
          <w:rFonts w:asciiTheme="majorHAnsi" w:hAnsiTheme="majorHAnsi" w:cstheme="majorHAnsi"/>
          <w:iCs/>
          <w:sz w:val="16"/>
          <w:szCs w:val="16"/>
          <w:lang w:val="ro-MD"/>
        </w:rPr>
        <w:t>”,</w:t>
      </w:r>
      <w:r w:rsidRPr="005C1794">
        <w:rPr>
          <w:rFonts w:asciiTheme="majorHAnsi" w:hAnsiTheme="majorHAnsi" w:cstheme="majorHAnsi"/>
          <w:iCs/>
          <w:sz w:val="16"/>
          <w:szCs w:val="16"/>
          <w:lang w:val="ro-MD"/>
        </w:rPr>
        <w:t xml:space="preserve"> din 19 programe</w:t>
      </w:r>
      <w:r>
        <w:rPr>
          <w:rFonts w:asciiTheme="majorHAnsi" w:hAnsiTheme="majorHAnsi" w:cstheme="majorHAnsi"/>
          <w:iCs/>
          <w:sz w:val="16"/>
          <w:szCs w:val="16"/>
          <w:lang w:val="ro-MD"/>
        </w:rPr>
        <w:t>, doar</w:t>
      </w:r>
      <w:r w:rsidRPr="005C1794">
        <w:rPr>
          <w:rFonts w:asciiTheme="majorHAnsi" w:hAnsiTheme="majorHAnsi" w:cstheme="majorHAnsi"/>
          <w:iCs/>
          <w:sz w:val="16"/>
          <w:szCs w:val="16"/>
          <w:lang w:val="ro-MD"/>
        </w:rPr>
        <w:t xml:space="preserve"> 16, sau 84,2%</w:t>
      </w:r>
      <w:r>
        <w:rPr>
          <w:rFonts w:asciiTheme="majorHAnsi" w:hAnsiTheme="majorHAnsi" w:cstheme="majorHAnsi"/>
          <w:iCs/>
          <w:sz w:val="16"/>
          <w:szCs w:val="16"/>
          <w:lang w:val="ro-MD"/>
        </w:rPr>
        <w:t>,</w:t>
      </w:r>
      <w:r w:rsidRPr="005C1794">
        <w:rPr>
          <w:rFonts w:asciiTheme="majorHAnsi" w:hAnsiTheme="majorHAnsi" w:cstheme="majorHAnsi"/>
          <w:iCs/>
          <w:sz w:val="16"/>
          <w:szCs w:val="16"/>
          <w:lang w:val="ro-MD"/>
        </w:rPr>
        <w:t xml:space="preserve"> nu au fost </w:t>
      </w:r>
      <w:r w:rsidRPr="006C4F60">
        <w:rPr>
          <w:rFonts w:asciiTheme="majorHAnsi" w:hAnsiTheme="majorHAnsi" w:cstheme="majorHAnsi"/>
          <w:iCs/>
          <w:sz w:val="16"/>
          <w:szCs w:val="16"/>
          <w:lang w:val="ro-MD"/>
        </w:rPr>
        <w:t>acreditate.</w:t>
      </w:r>
    </w:p>
  </w:footnote>
  <w:footnote w:id="27">
    <w:p w14:paraId="34E9DB9B" w14:textId="4FEADD19" w:rsidR="00BA41FB" w:rsidRPr="005C1794"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O s</w:t>
      </w:r>
      <w:r w:rsidRPr="005C1794">
        <w:rPr>
          <w:rFonts w:asciiTheme="majorHAnsi" w:hAnsiTheme="majorHAnsi" w:cstheme="majorHAnsi"/>
          <w:sz w:val="16"/>
          <w:szCs w:val="16"/>
          <w:lang w:val="ro-MD"/>
        </w:rPr>
        <w:t>ituație analogică se atestă și la cilul II „Master” și ciclul III „Doctorat”.</w:t>
      </w:r>
    </w:p>
  </w:footnote>
  <w:footnote w:id="28">
    <w:p w14:paraId="0A9AA134" w14:textId="77777777" w:rsidR="00BA41FB" w:rsidRPr="005C1794" w:rsidRDefault="00BA41FB" w:rsidP="00853D5E">
      <w:pPr>
        <w:pStyle w:val="FootnoteText"/>
        <w:jc w:val="both"/>
        <w:rPr>
          <w:rFonts w:asciiTheme="majorHAnsi" w:hAnsiTheme="majorHAnsi" w:cstheme="majorHAnsi"/>
          <w:bCs/>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sidRPr="005C1794">
        <w:rPr>
          <w:rFonts w:asciiTheme="majorHAnsi" w:hAnsiTheme="majorHAnsi" w:cstheme="majorHAnsi"/>
          <w:bCs/>
          <w:sz w:val="16"/>
          <w:szCs w:val="16"/>
          <w:lang w:val="ro-MD"/>
        </w:rPr>
        <w:t xml:space="preserve">HG nr.1077 din 23.09.2016 „Cu privire la finanțarea în bază de cost per elev a instituțiilor publice de învățământ profesional tehnic”. </w:t>
      </w:r>
    </w:p>
  </w:footnote>
  <w:footnote w:id="29">
    <w:p w14:paraId="6926FDD6" w14:textId="7434B6AD" w:rsidR="00BA41FB" w:rsidRPr="005C1794"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Ordin</w:t>
      </w:r>
      <w:r>
        <w:rPr>
          <w:rFonts w:asciiTheme="majorHAnsi" w:hAnsiTheme="majorHAnsi" w:cstheme="majorHAnsi"/>
          <w:sz w:val="16"/>
          <w:szCs w:val="16"/>
          <w:lang w:val="ro-MD"/>
        </w:rPr>
        <w:t>ul</w:t>
      </w:r>
      <w:r w:rsidRPr="005C1794">
        <w:rPr>
          <w:rFonts w:asciiTheme="majorHAnsi" w:hAnsiTheme="majorHAnsi" w:cstheme="majorHAnsi"/>
          <w:sz w:val="16"/>
          <w:szCs w:val="16"/>
          <w:lang w:val="ro-MD"/>
        </w:rPr>
        <w:t xml:space="preserve"> MECC nr.1828 din 10.12.2018 „Cu privire la determinarea costului mediu de instruire conform HG nr.1077 din 23.09.2016 pe anul 2019”.</w:t>
      </w:r>
    </w:p>
  </w:footnote>
  <w:footnote w:id="30">
    <w:p w14:paraId="17E4F28E" w14:textId="6FF5D9C8" w:rsidR="00BA41FB" w:rsidRPr="006C4F60"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Colegiul Național de Coregrafie, mun. Chișinău (de la 33,3 mii lei la 57,4 mii lei); Colegiul de Arte „Nicolae Botgros”, or. Soroca (de la 32,6 mii lei la 48,9 mii lei); Colegiul de Muzică şi Pedagogie din Bălți (de la 48,2 mii lei la 82,7 mii lei).</w:t>
      </w:r>
    </w:p>
  </w:footnote>
  <w:footnote w:id="31">
    <w:p w14:paraId="4539F612" w14:textId="6DBE43E9" w:rsidR="00BA41FB" w:rsidRPr="006C4F60" w:rsidRDefault="00BA41FB" w:rsidP="00853D5E">
      <w:pPr>
        <w:pStyle w:val="NormalWeb"/>
        <w:ind w:firstLine="0"/>
        <w:rPr>
          <w:rFonts w:asciiTheme="majorHAnsi" w:hAnsiTheme="majorHAnsi" w:cstheme="majorHAnsi"/>
          <w:color w:val="000000"/>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sidRPr="005C1794">
        <w:rPr>
          <w:rFonts w:asciiTheme="majorHAnsi" w:hAnsiTheme="majorHAnsi" w:cstheme="majorHAnsi"/>
          <w:color w:val="000000"/>
          <w:sz w:val="16"/>
          <w:szCs w:val="16"/>
          <w:lang w:val="ro-MD"/>
        </w:rPr>
        <w:t xml:space="preserve">Centrul de excelență în educație artistică „Ștefan Neaga” </w:t>
      </w:r>
      <w:r>
        <w:rPr>
          <w:rFonts w:asciiTheme="majorHAnsi" w:hAnsiTheme="majorHAnsi" w:cstheme="majorHAnsi"/>
          <w:color w:val="000000"/>
          <w:sz w:val="16"/>
          <w:szCs w:val="16"/>
          <w:lang w:val="ro-MD"/>
        </w:rPr>
        <w:t>–</w:t>
      </w:r>
      <w:r w:rsidRPr="005C1794">
        <w:rPr>
          <w:rFonts w:asciiTheme="majorHAnsi" w:hAnsiTheme="majorHAnsi" w:cstheme="majorHAnsi"/>
          <w:color w:val="000000"/>
          <w:sz w:val="16"/>
          <w:szCs w:val="16"/>
          <w:lang w:val="ro-MD"/>
        </w:rPr>
        <w:t xml:space="preserve"> 78,6 mii lei per elev</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 xml:space="preserve">(costurile de studii 20848,5 mii lei/265 elevi); Colegiul Național de Coreografie mun.Chișinău </w:t>
      </w:r>
      <w:r>
        <w:rPr>
          <w:rFonts w:asciiTheme="majorHAnsi" w:hAnsiTheme="majorHAnsi" w:cstheme="majorHAnsi"/>
          <w:color w:val="000000"/>
          <w:sz w:val="16"/>
          <w:szCs w:val="16"/>
          <w:lang w:val="ro-MD"/>
        </w:rPr>
        <w:t>–</w:t>
      </w:r>
      <w:r w:rsidRPr="005C1794">
        <w:rPr>
          <w:rFonts w:asciiTheme="majorHAnsi" w:hAnsiTheme="majorHAnsi" w:cstheme="majorHAnsi"/>
          <w:color w:val="000000"/>
          <w:sz w:val="16"/>
          <w:szCs w:val="16"/>
          <w:lang w:val="ro-MD"/>
        </w:rPr>
        <w:t> 77,6 mii lei (6363,1 mii lei/82</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 xml:space="preserve">elevi); Colegiul de Muzică și </w:t>
      </w:r>
      <w:r>
        <w:rPr>
          <w:rFonts w:asciiTheme="majorHAnsi" w:hAnsiTheme="majorHAnsi" w:cstheme="majorHAnsi"/>
          <w:color w:val="000000"/>
          <w:sz w:val="16"/>
          <w:szCs w:val="16"/>
          <w:lang w:val="ro-MD"/>
        </w:rPr>
        <w:t>P</w:t>
      </w:r>
      <w:r w:rsidRPr="005C1794">
        <w:rPr>
          <w:rFonts w:asciiTheme="majorHAnsi" w:hAnsiTheme="majorHAnsi" w:cstheme="majorHAnsi"/>
          <w:color w:val="000000"/>
          <w:sz w:val="16"/>
          <w:szCs w:val="16"/>
          <w:lang w:val="ro-MD"/>
        </w:rPr>
        <w:t xml:space="preserve">edagogie din </w:t>
      </w:r>
      <w:r w:rsidRPr="006C4F60">
        <w:rPr>
          <w:rFonts w:asciiTheme="majorHAnsi" w:hAnsiTheme="majorHAnsi" w:cstheme="majorHAnsi"/>
          <w:color w:val="000000"/>
          <w:sz w:val="16"/>
          <w:szCs w:val="16"/>
          <w:lang w:val="ro-MD"/>
        </w:rPr>
        <w:t xml:space="preserve">Bălți </w:t>
      </w:r>
      <w:r>
        <w:rPr>
          <w:rFonts w:asciiTheme="majorHAnsi" w:hAnsiTheme="majorHAnsi" w:cstheme="majorHAnsi"/>
          <w:color w:val="000000"/>
          <w:sz w:val="16"/>
          <w:szCs w:val="16"/>
          <w:lang w:val="ro-MD"/>
        </w:rPr>
        <w:t xml:space="preserve">– </w:t>
      </w:r>
      <w:r w:rsidRPr="006C4F60">
        <w:rPr>
          <w:rFonts w:asciiTheme="majorHAnsi" w:hAnsiTheme="majorHAnsi" w:cstheme="majorHAnsi"/>
          <w:color w:val="000000"/>
          <w:sz w:val="16"/>
          <w:szCs w:val="16"/>
          <w:lang w:val="ro-MD"/>
        </w:rPr>
        <w:t>106,2 mii lei (10938,9 mii lei/103 elevi).</w:t>
      </w:r>
    </w:p>
  </w:footnote>
  <w:footnote w:id="32">
    <w:p w14:paraId="5BA1EB20" w14:textId="0B25E44B" w:rsidR="00BA41FB" w:rsidRPr="006C4F60"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sidRPr="005C1794">
        <w:rPr>
          <w:rFonts w:asciiTheme="majorHAnsi" w:eastAsia="Calibri" w:hAnsiTheme="majorHAnsi" w:cstheme="majorHAnsi"/>
          <w:sz w:val="16"/>
          <w:szCs w:val="16"/>
          <w:lang w:val="ro-MD"/>
        </w:rPr>
        <w:t>La U</w:t>
      </w:r>
      <w:r>
        <w:rPr>
          <w:rFonts w:asciiTheme="majorHAnsi" w:eastAsia="Calibri" w:hAnsiTheme="majorHAnsi" w:cstheme="majorHAnsi"/>
          <w:sz w:val="16"/>
          <w:szCs w:val="16"/>
          <w:lang w:val="ro-MD"/>
        </w:rPr>
        <w:t xml:space="preserve">niversitatea de </w:t>
      </w:r>
      <w:r w:rsidRPr="005C1794">
        <w:rPr>
          <w:rFonts w:asciiTheme="majorHAnsi" w:eastAsia="Calibri" w:hAnsiTheme="majorHAnsi" w:cstheme="majorHAnsi"/>
          <w:sz w:val="16"/>
          <w:szCs w:val="16"/>
          <w:lang w:val="ro-MD"/>
        </w:rPr>
        <w:t>S</w:t>
      </w:r>
      <w:r>
        <w:rPr>
          <w:rFonts w:asciiTheme="majorHAnsi" w:eastAsia="Calibri" w:hAnsiTheme="majorHAnsi" w:cstheme="majorHAnsi"/>
          <w:sz w:val="16"/>
          <w:szCs w:val="16"/>
          <w:lang w:val="ro-MD"/>
        </w:rPr>
        <w:t>tat din</w:t>
      </w:r>
      <w:r w:rsidRPr="005C1794">
        <w:rPr>
          <w:rFonts w:asciiTheme="majorHAnsi" w:eastAsia="Calibri" w:hAnsiTheme="majorHAnsi" w:cstheme="majorHAnsi"/>
          <w:sz w:val="16"/>
          <w:szCs w:val="16"/>
          <w:lang w:val="ro-MD"/>
        </w:rPr>
        <w:t xml:space="preserve"> Comrat</w:t>
      </w:r>
      <w:r>
        <w:rPr>
          <w:rFonts w:asciiTheme="majorHAnsi" w:eastAsia="Calibri" w:hAnsiTheme="majorHAnsi" w:cstheme="majorHAnsi"/>
          <w:sz w:val="16"/>
          <w:szCs w:val="16"/>
          <w:lang w:val="ro-MD"/>
        </w:rPr>
        <w:t>,</w:t>
      </w:r>
      <w:r w:rsidRPr="005C1794">
        <w:rPr>
          <w:rFonts w:asciiTheme="majorHAnsi" w:eastAsia="Calibri" w:hAnsiTheme="majorHAnsi" w:cstheme="majorHAnsi"/>
          <w:sz w:val="16"/>
          <w:szCs w:val="16"/>
          <w:lang w:val="ro-MD"/>
        </w:rPr>
        <w:t xml:space="preserve"> în cadrul studiilor de licență, în 2019 cheltuielile executate per student (raportate la MECC) constituiau 36,0 mii lei</w:t>
      </w:r>
      <w:r w:rsidRPr="006C4F60">
        <w:rPr>
          <w:rFonts w:asciiTheme="majorHAnsi" w:eastAsia="Calibri" w:hAnsiTheme="majorHAnsi" w:cstheme="majorHAnsi"/>
          <w:sz w:val="16"/>
          <w:szCs w:val="16"/>
          <w:lang w:val="ro-MD"/>
        </w:rPr>
        <w:t xml:space="preserve">, la contract </w:t>
      </w:r>
      <w:r>
        <w:rPr>
          <w:rFonts w:asciiTheme="majorHAnsi" w:eastAsia="Calibri" w:hAnsiTheme="majorHAnsi" w:cstheme="majorHAnsi"/>
          <w:sz w:val="16"/>
          <w:szCs w:val="16"/>
          <w:lang w:val="ro-MD"/>
        </w:rPr>
        <w:t>–</w:t>
      </w:r>
      <w:r w:rsidRPr="006C4F60">
        <w:rPr>
          <w:rFonts w:asciiTheme="majorHAnsi" w:eastAsia="Calibri" w:hAnsiTheme="majorHAnsi" w:cstheme="majorHAnsi"/>
          <w:sz w:val="16"/>
          <w:szCs w:val="16"/>
          <w:lang w:val="ro-MD"/>
        </w:rPr>
        <w:t xml:space="preserve"> 7,4 mii lei, media fiind </w:t>
      </w:r>
      <w:r>
        <w:rPr>
          <w:rFonts w:asciiTheme="majorHAnsi" w:eastAsia="Calibri" w:hAnsiTheme="majorHAnsi" w:cstheme="majorHAnsi"/>
          <w:sz w:val="16"/>
          <w:szCs w:val="16"/>
          <w:lang w:val="ro-MD"/>
        </w:rPr>
        <w:t xml:space="preserve">de </w:t>
      </w:r>
      <w:r w:rsidRPr="006C4F60">
        <w:rPr>
          <w:rFonts w:asciiTheme="majorHAnsi" w:eastAsia="Calibri" w:hAnsiTheme="majorHAnsi" w:cstheme="majorHAnsi"/>
          <w:sz w:val="16"/>
          <w:szCs w:val="16"/>
          <w:lang w:val="ro-MD"/>
        </w:rPr>
        <w:t xml:space="preserve">16,8 mii lei, în timp ce taxa medie de studii a constituit doar 5,3 mii lei. La </w:t>
      </w:r>
      <w:r w:rsidRPr="006C4F60">
        <w:rPr>
          <w:rFonts w:asciiTheme="majorHAnsi" w:hAnsiTheme="majorHAnsi" w:cstheme="majorHAnsi"/>
          <w:sz w:val="16"/>
          <w:szCs w:val="16"/>
          <w:lang w:val="ro-MD"/>
        </w:rPr>
        <w:t>Centrul de Excelență în Servicii și Prelucrarea Alimentelor</w:t>
      </w:r>
      <w:r>
        <w:rPr>
          <w:rFonts w:asciiTheme="majorHAnsi" w:hAnsiTheme="majorHAnsi" w:cstheme="majorHAnsi"/>
          <w:sz w:val="16"/>
          <w:szCs w:val="16"/>
          <w:lang w:val="ro-MD"/>
        </w:rPr>
        <w:t xml:space="preserve"> din</w:t>
      </w:r>
      <w:r w:rsidRPr="006C4F60">
        <w:rPr>
          <w:rFonts w:asciiTheme="majorHAnsi" w:hAnsiTheme="majorHAnsi" w:cstheme="majorHAnsi"/>
          <w:sz w:val="16"/>
          <w:szCs w:val="16"/>
          <w:lang w:val="ro-MD"/>
        </w:rPr>
        <w:t xml:space="preserve"> mun.Bălți</w:t>
      </w:r>
      <w:r>
        <w:rPr>
          <w:rFonts w:asciiTheme="majorHAnsi" w:hAnsiTheme="majorHAnsi" w:cstheme="majorHAnsi"/>
          <w:sz w:val="16"/>
          <w:szCs w:val="16"/>
          <w:lang w:val="ro-MD"/>
        </w:rPr>
        <w:t>,</w:t>
      </w:r>
      <w:r w:rsidRPr="006C4F60">
        <w:rPr>
          <w:rFonts w:asciiTheme="majorHAnsi" w:eastAsia="Calibri" w:hAnsiTheme="majorHAnsi" w:cstheme="majorHAnsi"/>
          <w:sz w:val="16"/>
          <w:szCs w:val="16"/>
          <w:lang w:val="ro-MD"/>
        </w:rPr>
        <w:t xml:space="preserve"> în anul 2019, costul mediu de instruire din buget constituia 19,4 mii lei, la contract </w:t>
      </w:r>
      <w:r>
        <w:rPr>
          <w:rFonts w:asciiTheme="majorHAnsi" w:eastAsia="Calibri" w:hAnsiTheme="majorHAnsi" w:cstheme="majorHAnsi"/>
          <w:sz w:val="16"/>
          <w:szCs w:val="16"/>
          <w:lang w:val="ro-MD"/>
        </w:rPr>
        <w:t>–</w:t>
      </w:r>
      <w:r w:rsidRPr="006C4F60">
        <w:rPr>
          <w:rFonts w:asciiTheme="majorHAnsi" w:eastAsia="Calibri" w:hAnsiTheme="majorHAnsi" w:cstheme="majorHAnsi"/>
          <w:sz w:val="16"/>
          <w:szCs w:val="16"/>
          <w:lang w:val="ro-MD"/>
        </w:rPr>
        <w:t xml:space="preserve"> 4,3 mii lei, media fiind de 18,0 mii lei. La Colegiul de Industrie Ușoară din mun.Bălți</w:t>
      </w:r>
      <w:r>
        <w:rPr>
          <w:rFonts w:asciiTheme="majorHAnsi" w:eastAsia="Calibri" w:hAnsiTheme="majorHAnsi" w:cstheme="majorHAnsi"/>
          <w:sz w:val="16"/>
          <w:szCs w:val="16"/>
          <w:lang w:val="ro-MD"/>
        </w:rPr>
        <w:t>,</w:t>
      </w:r>
      <w:r w:rsidRPr="006C4F60">
        <w:rPr>
          <w:rFonts w:asciiTheme="majorHAnsi" w:eastAsia="Calibri" w:hAnsiTheme="majorHAnsi" w:cstheme="majorHAnsi"/>
          <w:sz w:val="16"/>
          <w:szCs w:val="16"/>
          <w:lang w:val="ro-MD"/>
        </w:rPr>
        <w:t xml:space="preserve"> costul mediu de instruire din buget constituia 32,7 mii lei, taxa de studii </w:t>
      </w:r>
      <w:r>
        <w:rPr>
          <w:rFonts w:asciiTheme="majorHAnsi" w:eastAsia="Calibri" w:hAnsiTheme="majorHAnsi" w:cstheme="majorHAnsi"/>
          <w:sz w:val="16"/>
          <w:szCs w:val="16"/>
          <w:lang w:val="ro-MD"/>
        </w:rPr>
        <w:t>–</w:t>
      </w:r>
      <w:r w:rsidRPr="006C4F60">
        <w:rPr>
          <w:rFonts w:asciiTheme="majorHAnsi" w:eastAsia="Calibri" w:hAnsiTheme="majorHAnsi" w:cstheme="majorHAnsi"/>
          <w:sz w:val="16"/>
          <w:szCs w:val="16"/>
          <w:lang w:val="ro-MD"/>
        </w:rPr>
        <w:t xml:space="preserve"> 4,3 mii lei, media fiind de 21,5 mii lei, fapt ce denotă că 3912,6 mii lei au fost utilizați din buget (comanda de stat) pentru acoperirea cheltuielilor la studiile prin contract. </w:t>
      </w:r>
    </w:p>
  </w:footnote>
  <w:footnote w:id="33">
    <w:p w14:paraId="6DC61B9D" w14:textId="7A486922" w:rsidR="00BA41FB" w:rsidRPr="00855595" w:rsidRDefault="00BA41FB" w:rsidP="00853D5E">
      <w:pPr>
        <w:spacing w:after="0" w:line="240" w:lineRule="auto"/>
        <w:ind w:right="-2"/>
        <w:jc w:val="both"/>
        <w:rPr>
          <w:rFonts w:asciiTheme="majorHAnsi" w:hAnsiTheme="majorHAnsi" w:cstheme="majorHAnsi"/>
          <w:sz w:val="16"/>
          <w:szCs w:val="16"/>
          <w:lang w:val="ro-MD"/>
        </w:rPr>
      </w:pPr>
      <w:r w:rsidRPr="00855595">
        <w:rPr>
          <w:rStyle w:val="FootnoteReference"/>
          <w:rFonts w:asciiTheme="majorHAnsi" w:hAnsiTheme="majorHAnsi" w:cstheme="majorHAnsi"/>
          <w:sz w:val="16"/>
          <w:szCs w:val="16"/>
          <w:lang w:val="ro-MD"/>
        </w:rPr>
        <w:footnoteRef/>
      </w:r>
      <w:r w:rsidRPr="00855595">
        <w:rPr>
          <w:rFonts w:asciiTheme="majorHAnsi" w:hAnsiTheme="majorHAnsi" w:cstheme="majorHAnsi"/>
          <w:sz w:val="16"/>
          <w:szCs w:val="16"/>
          <w:lang w:val="ro-MD"/>
        </w:rPr>
        <w:t xml:space="preserve"> HG nr.649 din 10.07.2018 „Cu privire la planurile (comanda de stat) de pregătire a cadrelor pe specialități şi domenii generale de studii, cu finanțare de la bugetul de stat, în instituțiile de învățământ superior pentru anul de studii 2018-2019”.</w:t>
      </w:r>
    </w:p>
  </w:footnote>
  <w:footnote w:id="34">
    <w:p w14:paraId="641E52F0" w14:textId="6F1768BE" w:rsidR="00BA41FB" w:rsidRPr="00855595" w:rsidRDefault="00BA41FB" w:rsidP="00853D5E">
      <w:pPr>
        <w:spacing w:after="0" w:line="240" w:lineRule="auto"/>
        <w:ind w:right="-2"/>
        <w:jc w:val="both"/>
        <w:rPr>
          <w:rFonts w:asciiTheme="majorHAnsi" w:hAnsiTheme="majorHAnsi" w:cstheme="majorHAnsi"/>
          <w:sz w:val="16"/>
          <w:szCs w:val="16"/>
          <w:lang w:val="ro-MD"/>
        </w:rPr>
      </w:pPr>
      <w:r w:rsidRPr="00855595">
        <w:rPr>
          <w:rStyle w:val="FootnoteReference"/>
          <w:rFonts w:asciiTheme="majorHAnsi" w:hAnsiTheme="majorHAnsi" w:cstheme="majorHAnsi"/>
          <w:sz w:val="16"/>
          <w:szCs w:val="16"/>
          <w:lang w:val="ro-MD"/>
        </w:rPr>
        <w:footnoteRef/>
      </w:r>
      <w:r w:rsidRPr="00855595">
        <w:rPr>
          <w:rFonts w:asciiTheme="majorHAnsi" w:hAnsiTheme="majorHAnsi" w:cstheme="majorHAnsi"/>
          <w:sz w:val="16"/>
          <w:szCs w:val="16"/>
          <w:lang w:val="ro-MD"/>
        </w:rPr>
        <w:t xml:space="preserve"> HG nr.345 din 18.07.2019 „Cu privire la planurile (comanda de stat) de pregătire a cadrelor de specialitate pe domenii generale de studiu, cu finanțare de la bugetul de stat, în instituțiile de învățământ superior pentru anul de studii 2019-2020”.</w:t>
      </w:r>
    </w:p>
  </w:footnote>
  <w:footnote w:id="35">
    <w:p w14:paraId="7CB6F353" w14:textId="380ED95F" w:rsidR="00BA41FB" w:rsidRPr="005C1794" w:rsidRDefault="00BA41FB" w:rsidP="005048CE">
      <w:pPr>
        <w:pStyle w:val="FootnoteText"/>
        <w:jc w:val="both"/>
        <w:rPr>
          <w:rFonts w:asciiTheme="majorHAnsi" w:hAnsiTheme="majorHAnsi" w:cstheme="majorHAnsi"/>
          <w:sz w:val="16"/>
          <w:szCs w:val="16"/>
          <w:lang w:val="ro-MD"/>
        </w:rPr>
      </w:pPr>
      <w:r w:rsidRPr="00855595">
        <w:rPr>
          <w:rStyle w:val="FootnoteReference"/>
          <w:rFonts w:asciiTheme="majorHAnsi" w:hAnsiTheme="majorHAnsi" w:cstheme="majorHAnsi"/>
          <w:sz w:val="16"/>
          <w:szCs w:val="16"/>
          <w:lang w:val="ro-MD"/>
        </w:rPr>
        <w:footnoteRef/>
      </w:r>
      <w:r w:rsidRPr="00855595">
        <w:rPr>
          <w:rFonts w:asciiTheme="majorHAnsi" w:hAnsiTheme="majorHAnsi" w:cstheme="majorHAnsi"/>
          <w:sz w:val="16"/>
          <w:szCs w:val="16"/>
          <w:lang w:val="ro-MD"/>
        </w:rPr>
        <w:t xml:space="preserve"> Instituțiile din învățământul: superior – 237,7 mil.lei și din cel profesional tehnic postsecundar și nonterțiar – 154,0 mil.lei.</w:t>
      </w:r>
      <w:r w:rsidRPr="005C1794">
        <w:rPr>
          <w:rFonts w:asciiTheme="majorHAnsi" w:hAnsiTheme="majorHAnsi" w:cstheme="majorHAnsi"/>
          <w:sz w:val="16"/>
          <w:szCs w:val="16"/>
          <w:lang w:val="ro-MD"/>
        </w:rPr>
        <w:t xml:space="preserve"> </w:t>
      </w:r>
    </w:p>
  </w:footnote>
  <w:footnote w:id="36">
    <w:p w14:paraId="6BBCF873" w14:textId="5C55BF53" w:rsidR="00BA41FB" w:rsidRPr="005C1794"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Pr>
          <w:rFonts w:asciiTheme="majorHAnsi" w:eastAsia="Times New Roman" w:hAnsiTheme="majorHAnsi" w:cstheme="majorHAnsi"/>
          <w:sz w:val="16"/>
          <w:szCs w:val="16"/>
          <w:lang w:val="ro-MD" w:eastAsia="ru-RU"/>
        </w:rPr>
        <w:t>P</w:t>
      </w:r>
      <w:r w:rsidRPr="005C1794">
        <w:rPr>
          <w:rFonts w:asciiTheme="majorHAnsi" w:eastAsia="Times New Roman" w:hAnsiTheme="majorHAnsi" w:cstheme="majorHAnsi"/>
          <w:sz w:val="16"/>
          <w:szCs w:val="16"/>
          <w:lang w:val="ro-MD" w:eastAsia="ru-RU"/>
        </w:rPr>
        <w:t>ct.4 din HG nr.923 din 04.09.2001</w:t>
      </w:r>
      <w:r w:rsidR="007C6309">
        <w:rPr>
          <w:rFonts w:asciiTheme="majorHAnsi" w:eastAsia="Times New Roman" w:hAnsiTheme="majorHAnsi" w:cstheme="majorHAnsi"/>
          <w:sz w:val="16"/>
          <w:szCs w:val="16"/>
          <w:lang w:val="ro-MD" w:eastAsia="ru-RU"/>
        </w:rPr>
        <w:t xml:space="preserve"> „C</w:t>
      </w:r>
      <w:r w:rsidR="007C6309" w:rsidRPr="006C3BA6">
        <w:rPr>
          <w:rFonts w:asciiTheme="majorHAnsi" w:eastAsia="Times New Roman" w:hAnsiTheme="majorHAnsi" w:cstheme="majorHAnsi"/>
          <w:sz w:val="16"/>
          <w:szCs w:val="16"/>
          <w:lang w:val="ro-MD" w:eastAsia="ru-RU"/>
        </w:rPr>
        <w:t>u privire la plasarea în cîmpul muncii a absolvenţilor instituţiilor</w:t>
      </w:r>
      <w:r w:rsidR="007C6309">
        <w:rPr>
          <w:rFonts w:asciiTheme="majorHAnsi" w:eastAsia="Times New Roman" w:hAnsiTheme="majorHAnsi" w:cstheme="majorHAnsi"/>
          <w:sz w:val="16"/>
          <w:szCs w:val="16"/>
          <w:lang w:val="ro-MD" w:eastAsia="ru-RU"/>
        </w:rPr>
        <w:t xml:space="preserve"> </w:t>
      </w:r>
      <w:r w:rsidR="007C6309" w:rsidRPr="006C3BA6">
        <w:rPr>
          <w:rFonts w:asciiTheme="majorHAnsi" w:eastAsia="Times New Roman" w:hAnsiTheme="majorHAnsi" w:cstheme="majorHAnsi"/>
          <w:sz w:val="16"/>
          <w:szCs w:val="16"/>
          <w:lang w:val="ro-MD" w:eastAsia="ru-RU"/>
        </w:rPr>
        <w:t>de învăţămînt superior şi profesional tehnic postsecundar</w:t>
      </w:r>
      <w:r w:rsidR="007C6309">
        <w:rPr>
          <w:rFonts w:asciiTheme="majorHAnsi" w:eastAsia="Times New Roman" w:hAnsiTheme="majorHAnsi" w:cstheme="majorHAnsi"/>
          <w:sz w:val="16"/>
          <w:szCs w:val="16"/>
          <w:lang w:val="ro-MD" w:eastAsia="ru-RU"/>
        </w:rPr>
        <w:t xml:space="preserve"> </w:t>
      </w:r>
      <w:r w:rsidR="007C6309" w:rsidRPr="006C3BA6">
        <w:rPr>
          <w:rFonts w:asciiTheme="majorHAnsi" w:eastAsia="Times New Roman" w:hAnsiTheme="majorHAnsi" w:cstheme="majorHAnsi"/>
          <w:sz w:val="16"/>
          <w:szCs w:val="16"/>
          <w:lang w:val="ro-MD" w:eastAsia="ru-RU"/>
        </w:rPr>
        <w:t>şi postsecundar nonterţiar de stat</w:t>
      </w:r>
      <w:r w:rsidR="007C6309">
        <w:rPr>
          <w:rFonts w:asciiTheme="majorHAnsi" w:eastAsia="Times New Roman" w:hAnsiTheme="majorHAnsi" w:cstheme="majorHAnsi"/>
          <w:sz w:val="16"/>
          <w:szCs w:val="16"/>
          <w:lang w:val="ro-MD" w:eastAsia="ru-RU"/>
        </w:rPr>
        <w:t>”.</w:t>
      </w:r>
    </w:p>
  </w:footnote>
  <w:footnote w:id="37">
    <w:p w14:paraId="727E86D2" w14:textId="2DA32074" w:rsidR="00BA41FB" w:rsidRPr="005C1794" w:rsidRDefault="00BA41FB" w:rsidP="0072333F">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Hotărârea Judecătoriei Comrat nr.2_118/19 din 18.05.2019</w:t>
      </w:r>
      <w:r>
        <w:rPr>
          <w:rFonts w:asciiTheme="majorHAnsi" w:hAnsiTheme="majorHAnsi" w:cstheme="majorHAnsi"/>
          <w:sz w:val="16"/>
          <w:szCs w:val="16"/>
          <w:lang w:val="ro-MD"/>
        </w:rPr>
        <w:t>.</w:t>
      </w:r>
    </w:p>
  </w:footnote>
  <w:footnote w:id="38">
    <w:p w14:paraId="7B07219E" w14:textId="75BD0C55" w:rsidR="00BA41FB" w:rsidRPr="005C1794" w:rsidRDefault="00BA41FB" w:rsidP="0072333F">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Calcularea costurilor studiilor efectuate de USC</w:t>
      </w:r>
      <w:r w:rsidR="007C6309" w:rsidRPr="007C6309">
        <w:rPr>
          <w:rFonts w:asciiTheme="majorHAnsi" w:hAnsiTheme="majorHAnsi" w:cstheme="majorHAnsi"/>
          <w:sz w:val="16"/>
          <w:szCs w:val="16"/>
          <w:lang w:val="ro-MD"/>
        </w:rPr>
        <w:t xml:space="preserve"> </w:t>
      </w:r>
      <w:r w:rsidR="007C6309">
        <w:rPr>
          <w:rFonts w:asciiTheme="majorHAnsi" w:hAnsiTheme="majorHAnsi" w:cstheme="majorHAnsi"/>
          <w:sz w:val="16"/>
          <w:szCs w:val="16"/>
          <w:lang w:val="ro-MD"/>
        </w:rPr>
        <w:t>pentru 33 studenți</w:t>
      </w:r>
      <w:r w:rsidRPr="005C1794">
        <w:rPr>
          <w:rFonts w:asciiTheme="majorHAnsi" w:hAnsiTheme="majorHAnsi" w:cstheme="majorHAnsi"/>
          <w:sz w:val="16"/>
          <w:szCs w:val="16"/>
          <w:lang w:val="ro-MD"/>
        </w:rPr>
        <w:t>: cheltuieli de studii – 644,2 mii lei, bursa – 38,1 mii lei.</w:t>
      </w:r>
    </w:p>
  </w:footnote>
  <w:footnote w:id="39">
    <w:p w14:paraId="4B9433E9" w14:textId="1A77FDE2" w:rsidR="00BA41FB" w:rsidRPr="006C4F60"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Auditul a selectat o instituție</w:t>
      </w:r>
      <w:r>
        <w:rPr>
          <w:rFonts w:asciiTheme="majorHAnsi" w:hAnsiTheme="majorHAnsi" w:cstheme="majorHAnsi"/>
          <w:sz w:val="16"/>
          <w:szCs w:val="16"/>
          <w:lang w:val="ro-MD"/>
        </w:rPr>
        <w:t xml:space="preserve"> și</w:t>
      </w:r>
      <w:r w:rsidRPr="005C1794">
        <w:rPr>
          <w:rFonts w:asciiTheme="majorHAnsi" w:hAnsiTheme="majorHAnsi" w:cstheme="majorHAnsi"/>
          <w:sz w:val="16"/>
          <w:szCs w:val="16"/>
          <w:lang w:val="ro-MD"/>
        </w:rPr>
        <w:t xml:space="preserve"> a efectuat estimarea cheltuielilor pentru instruirea studenților exmatriculați în anul 2019 de către US Comrat</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constat</w:t>
      </w:r>
      <w:r>
        <w:rPr>
          <w:rFonts w:asciiTheme="majorHAnsi" w:hAnsiTheme="majorHAnsi" w:cstheme="majorHAnsi"/>
          <w:sz w:val="16"/>
          <w:szCs w:val="16"/>
          <w:lang w:val="ro-MD"/>
        </w:rPr>
        <w:t>ând</w:t>
      </w:r>
      <w:r w:rsidRPr="005C1794">
        <w:rPr>
          <w:rFonts w:asciiTheme="majorHAnsi" w:hAnsiTheme="majorHAnsi" w:cstheme="majorHAnsi"/>
          <w:sz w:val="16"/>
          <w:szCs w:val="16"/>
          <w:lang w:val="ro-MD"/>
        </w:rPr>
        <w:t xml:space="preserve"> că </w:t>
      </w:r>
      <w:r w:rsidRPr="006C4F60">
        <w:rPr>
          <w:rFonts w:asciiTheme="majorHAnsi" w:hAnsiTheme="majorHAnsi" w:cstheme="majorHAnsi"/>
          <w:sz w:val="16"/>
          <w:szCs w:val="16"/>
          <w:lang w:val="ro-MD"/>
        </w:rPr>
        <w:t xml:space="preserve">au fost utilizate mijloace bugetare în sumă totală de cca 606,1 mii lei, inclusiv cca 34,6 mii lei în anul 2017, 303,7 mii lei </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în 2018</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 xml:space="preserve">și 267,7 mii lei </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în anul 2019.</w:t>
      </w:r>
    </w:p>
  </w:footnote>
  <w:footnote w:id="40">
    <w:p w14:paraId="0F984D49" w14:textId="77777777" w:rsidR="00BA41FB" w:rsidRPr="006C4F60"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Informația privind efectivul de elevi/studenți din instituțiile de învățământ la autogestiune pe a.2019 (5269 de studenți din învățământul superior și 2335 din învățământul profesional tehnic postsecundar şi postsecundar nonterţiar).</w:t>
      </w:r>
    </w:p>
  </w:footnote>
  <w:footnote w:id="41">
    <w:p w14:paraId="60D9A29D" w14:textId="61CB4393" w:rsidR="00BA41FB" w:rsidRPr="005C1794"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Total 1333 </w:t>
      </w:r>
      <w:r>
        <w:rPr>
          <w:rFonts w:asciiTheme="majorHAnsi" w:hAnsiTheme="majorHAnsi" w:cstheme="majorHAnsi"/>
          <w:sz w:val="16"/>
          <w:szCs w:val="16"/>
          <w:lang w:val="ro-MD"/>
        </w:rPr>
        <w:t xml:space="preserve">de </w:t>
      </w:r>
      <w:r w:rsidRPr="005C1794">
        <w:rPr>
          <w:rFonts w:asciiTheme="majorHAnsi" w:hAnsiTheme="majorHAnsi" w:cstheme="majorHAnsi"/>
          <w:sz w:val="16"/>
          <w:szCs w:val="16"/>
          <w:lang w:val="ro-MD"/>
        </w:rPr>
        <w:t>absolvenți (231 din învățământul superior și 1102 din învățământul profesional tehnic postsecundar şi postsecundar nonterţiar).</w:t>
      </w:r>
    </w:p>
  </w:footnote>
  <w:footnote w:id="42">
    <w:p w14:paraId="18404A9D" w14:textId="76A7432A" w:rsidR="00BA41FB" w:rsidRPr="005C1794"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Total 1399 </w:t>
      </w:r>
      <w:r>
        <w:rPr>
          <w:rFonts w:asciiTheme="majorHAnsi" w:hAnsiTheme="majorHAnsi" w:cstheme="majorHAnsi"/>
          <w:sz w:val="16"/>
          <w:szCs w:val="16"/>
          <w:lang w:val="ro-MD"/>
        </w:rPr>
        <w:t xml:space="preserve">de </w:t>
      </w:r>
      <w:r w:rsidRPr="005C1794">
        <w:rPr>
          <w:rFonts w:asciiTheme="majorHAnsi" w:hAnsiTheme="majorHAnsi" w:cstheme="majorHAnsi"/>
          <w:sz w:val="16"/>
          <w:szCs w:val="16"/>
          <w:lang w:val="ro-MD"/>
        </w:rPr>
        <w:t>absolvenți (472 din învățământul superior și 927 din învățământul profesional tehnic postsecundar şi postsecundar nonterţiar).</w:t>
      </w:r>
    </w:p>
  </w:footnote>
  <w:footnote w:id="43">
    <w:p w14:paraId="0E9D03CB" w14:textId="05862EDF" w:rsidR="00BA41FB" w:rsidRPr="005C1794"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Total 2545 </w:t>
      </w:r>
      <w:r>
        <w:rPr>
          <w:rFonts w:asciiTheme="majorHAnsi" w:hAnsiTheme="majorHAnsi" w:cstheme="majorHAnsi"/>
          <w:sz w:val="16"/>
          <w:szCs w:val="16"/>
          <w:lang w:val="ro-MD"/>
        </w:rPr>
        <w:t xml:space="preserve">de </w:t>
      </w:r>
      <w:r w:rsidRPr="005C1794">
        <w:rPr>
          <w:rFonts w:asciiTheme="majorHAnsi" w:hAnsiTheme="majorHAnsi" w:cstheme="majorHAnsi"/>
          <w:sz w:val="16"/>
          <w:szCs w:val="16"/>
          <w:lang w:val="ro-MD"/>
        </w:rPr>
        <w:t>studenți/elevi (2015 din învățământul superior și 530 din învățământul profesional tehnic postsecundar şi postsecundar nonterţiar).</w:t>
      </w:r>
    </w:p>
  </w:footnote>
  <w:footnote w:id="44">
    <w:p w14:paraId="38A72CA2" w14:textId="6F223289" w:rsidR="00BA41FB" w:rsidRPr="006C4F60" w:rsidRDefault="00BA41FB" w:rsidP="00853D5E">
      <w:pPr>
        <w:spacing w:after="0" w:line="240" w:lineRule="auto"/>
        <w:ind w:right="-2"/>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HG nr.872</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din</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21.12.2015 „Cu privire la lucrările şi serviciile contra plată, mărimea tarifelor la servicii, modul de formare şi utilizare a veniturilor colectate de către aut</w:t>
      </w:r>
      <w:r w:rsidRPr="006C4F60">
        <w:rPr>
          <w:rFonts w:asciiTheme="majorHAnsi" w:hAnsiTheme="majorHAnsi" w:cstheme="majorHAnsi"/>
          <w:sz w:val="16"/>
          <w:szCs w:val="16"/>
          <w:lang w:val="ro-MD"/>
        </w:rPr>
        <w:t>oritățile/instituțiile subordonate Ministerului Educației, Culturii şi Cercetării”. HG nr.1311 din 12.12.2005 „Cu privire la aprobarea nomenclatoarelor serviciilor cu plată prestate de către Ministerul Educaţiei, Culturii şi Cercetării şi instituțiile subordinate”.</w:t>
      </w:r>
    </w:p>
  </w:footnote>
  <w:footnote w:id="45">
    <w:p w14:paraId="00680AF0" w14:textId="3A62065A" w:rsidR="00BA41FB" w:rsidRPr="005C1794"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Legea bugetului de stat pe a</w:t>
      </w:r>
      <w:r>
        <w:rPr>
          <w:rFonts w:asciiTheme="majorHAnsi" w:hAnsiTheme="majorHAnsi" w:cstheme="majorHAnsi"/>
          <w:sz w:val="16"/>
          <w:szCs w:val="16"/>
          <w:lang w:val="ro-MD"/>
        </w:rPr>
        <w:t xml:space="preserve">nul </w:t>
      </w:r>
      <w:r w:rsidRPr="005C1794">
        <w:rPr>
          <w:rFonts w:asciiTheme="majorHAnsi" w:hAnsiTheme="majorHAnsi" w:cstheme="majorHAnsi"/>
          <w:sz w:val="16"/>
          <w:szCs w:val="16"/>
          <w:lang w:val="ro-MD"/>
        </w:rPr>
        <w:t>2019 nr.303 din 30.11.2018 și pct.4 din HG nr.1077 din 23.09.2016 „Cu privire la finanțarea în bază de cost per elev a instituțiilor publice de învățământ profesional tehnic” (cu modificările și</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completările ulterioare).</w:t>
      </w:r>
    </w:p>
  </w:footnote>
  <w:footnote w:id="46">
    <w:p w14:paraId="327842A0" w14:textId="0090379D" w:rsidR="00BA41FB" w:rsidRPr="006C4F60"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sidRPr="005C1794">
        <w:rPr>
          <w:rFonts w:asciiTheme="majorHAnsi" w:hAnsiTheme="majorHAnsi" w:cstheme="majorHAnsi"/>
          <w:color w:val="000000"/>
          <w:sz w:val="16"/>
          <w:szCs w:val="16"/>
          <w:lang w:val="ro-MD"/>
        </w:rPr>
        <w:t>ŞP nr. 3, mun.Chişinău</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6;</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ŞP or. Briceni</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2; ŞP com. Bubuieci, mun. Chișinău</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- 30; ŞP nr. 2, or. Cahul</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3;</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ŞP or. Cimişlia</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1;</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ŞP or. Cupcini, r-nul Edineţ</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w:t>
      </w:r>
      <w:r>
        <w:rPr>
          <w:rFonts w:asciiTheme="majorHAnsi" w:hAnsiTheme="majorHAnsi" w:cstheme="majorHAnsi"/>
          <w:color w:val="000000"/>
          <w:sz w:val="16"/>
          <w:szCs w:val="16"/>
          <w:lang w:val="ro-MD"/>
        </w:rPr>
        <w:t xml:space="preserve"> </w:t>
      </w:r>
      <w:r w:rsidRPr="005C1794">
        <w:rPr>
          <w:rFonts w:asciiTheme="majorHAnsi" w:hAnsiTheme="majorHAnsi" w:cstheme="majorHAnsi"/>
          <w:color w:val="000000"/>
          <w:sz w:val="16"/>
          <w:szCs w:val="16"/>
          <w:lang w:val="ro-MD"/>
        </w:rPr>
        <w:t>1;</w:t>
      </w:r>
      <w:r w:rsidRPr="006C4F60">
        <w:rPr>
          <w:rFonts w:asciiTheme="majorHAnsi" w:hAnsiTheme="majorHAnsi" w:cstheme="majorHAnsi"/>
          <w:sz w:val="16"/>
          <w:szCs w:val="16"/>
          <w:lang w:val="ro-MD"/>
        </w:rPr>
        <w:t xml:space="preserve"> Colegiul de Arte „Nicolae Botgros”, or. Soroca</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35; Colegiul US „Ion Creangă” B</w:t>
      </w:r>
      <w:r>
        <w:rPr>
          <w:rFonts w:asciiTheme="majorHAnsi" w:hAnsiTheme="majorHAnsi" w:cstheme="majorHAnsi"/>
          <w:sz w:val="16"/>
          <w:szCs w:val="16"/>
          <w:lang w:val="ro-MD"/>
        </w:rPr>
        <w:t>ă</w:t>
      </w:r>
      <w:r w:rsidRPr="006C4F60">
        <w:rPr>
          <w:rFonts w:asciiTheme="majorHAnsi" w:hAnsiTheme="majorHAnsi" w:cstheme="majorHAnsi"/>
          <w:sz w:val="16"/>
          <w:szCs w:val="16"/>
          <w:lang w:val="ro-MD"/>
        </w:rPr>
        <w:t>l</w:t>
      </w:r>
      <w:r>
        <w:rPr>
          <w:rFonts w:asciiTheme="majorHAnsi" w:hAnsiTheme="majorHAnsi" w:cstheme="majorHAnsi"/>
          <w:sz w:val="16"/>
          <w:szCs w:val="16"/>
          <w:lang w:val="ro-MD"/>
        </w:rPr>
        <w:t>ț</w:t>
      </w:r>
      <w:r w:rsidRPr="006C4F60">
        <w:rPr>
          <w:rFonts w:asciiTheme="majorHAnsi" w:hAnsiTheme="majorHAnsi" w:cstheme="majorHAnsi"/>
          <w:sz w:val="16"/>
          <w:szCs w:val="16"/>
          <w:lang w:val="ro-MD"/>
        </w:rPr>
        <w:t>i</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w:t>
      </w:r>
      <w:r>
        <w:rPr>
          <w:rFonts w:asciiTheme="majorHAnsi" w:hAnsiTheme="majorHAnsi" w:cstheme="majorHAnsi"/>
          <w:sz w:val="16"/>
          <w:szCs w:val="16"/>
          <w:lang w:val="ro-MD"/>
        </w:rPr>
        <w:t xml:space="preserve"> </w:t>
      </w:r>
      <w:r w:rsidRPr="006C4F60">
        <w:rPr>
          <w:rFonts w:asciiTheme="majorHAnsi" w:hAnsiTheme="majorHAnsi" w:cstheme="majorHAnsi"/>
          <w:sz w:val="16"/>
          <w:szCs w:val="16"/>
          <w:lang w:val="ro-MD"/>
        </w:rPr>
        <w:t>48.</w:t>
      </w:r>
    </w:p>
  </w:footnote>
  <w:footnote w:id="47">
    <w:p w14:paraId="4AA0B8C3" w14:textId="37B22FAB" w:rsidR="00BA41FB" w:rsidRPr="005C1794" w:rsidRDefault="00BA41FB" w:rsidP="00853D5E">
      <w:pPr>
        <w:pStyle w:val="NormalWeb"/>
        <w:ind w:firstLine="0"/>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Pct.10 din </w:t>
      </w:r>
      <w:r>
        <w:rPr>
          <w:rFonts w:asciiTheme="majorHAnsi" w:hAnsiTheme="majorHAnsi" w:cstheme="majorHAnsi"/>
          <w:sz w:val="16"/>
          <w:szCs w:val="16"/>
          <w:lang w:val="ro-MD"/>
        </w:rPr>
        <w:t>A</w:t>
      </w:r>
      <w:r w:rsidRPr="005C1794">
        <w:rPr>
          <w:rFonts w:asciiTheme="majorHAnsi" w:hAnsiTheme="majorHAnsi" w:cstheme="majorHAnsi"/>
          <w:sz w:val="16"/>
          <w:szCs w:val="16"/>
          <w:lang w:val="ro-MD"/>
        </w:rPr>
        <w:t>nexa nr.3 la HG nr.872 din 21.12.2015.</w:t>
      </w:r>
    </w:p>
  </w:footnote>
  <w:footnote w:id="48">
    <w:p w14:paraId="12DCE164" w14:textId="12C9799A" w:rsidR="00BA41FB" w:rsidRPr="006C4F60" w:rsidRDefault="00BA41FB" w:rsidP="00853D5E">
      <w:pPr>
        <w:pStyle w:val="FootnoteText"/>
        <w:jc w:val="both"/>
        <w:rPr>
          <w:rFonts w:asciiTheme="majorHAnsi" w:hAnsiTheme="majorHAnsi" w:cstheme="majorHAnsi"/>
          <w:bCs/>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sidRPr="005C1794">
        <w:rPr>
          <w:rFonts w:asciiTheme="majorHAnsi" w:hAnsiTheme="majorHAnsi" w:cstheme="majorHAnsi"/>
          <w:bCs/>
          <w:iCs/>
          <w:sz w:val="16"/>
          <w:szCs w:val="16"/>
          <w:lang w:val="ro-MD"/>
        </w:rPr>
        <w:t>HG nr.868 din 08.10.2014</w:t>
      </w:r>
      <w:r w:rsidRPr="005C1794">
        <w:rPr>
          <w:rFonts w:asciiTheme="majorHAnsi" w:hAnsiTheme="majorHAnsi" w:cstheme="majorHAnsi"/>
          <w:bCs/>
          <w:sz w:val="16"/>
          <w:szCs w:val="16"/>
          <w:lang w:val="ro-MD"/>
        </w:rPr>
        <w:t xml:space="preserve"> „Privind finanțarea în bază de cost standard per elev a instituțiilor de învățământ primar și secundar general din subordinea autorităților publice locale de nivelul al doilea”</w:t>
      </w:r>
      <w:r w:rsidRPr="006C4F60">
        <w:rPr>
          <w:rFonts w:asciiTheme="majorHAnsi" w:hAnsiTheme="majorHAnsi" w:cstheme="majorHAnsi"/>
          <w:bCs/>
          <w:iCs/>
          <w:sz w:val="16"/>
          <w:szCs w:val="16"/>
          <w:lang w:val="ro-MD"/>
        </w:rPr>
        <w:t>.</w:t>
      </w:r>
    </w:p>
  </w:footnote>
  <w:footnote w:id="49">
    <w:p w14:paraId="3EBF76EB" w14:textId="77777777" w:rsidR="00BA41FB" w:rsidRPr="005C1794"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sidRPr="005C1794">
        <w:rPr>
          <w:rFonts w:asciiTheme="majorHAnsi" w:hAnsiTheme="majorHAnsi" w:cstheme="majorHAnsi"/>
          <w:iCs/>
          <w:sz w:val="16"/>
          <w:szCs w:val="16"/>
          <w:lang w:val="ro-MD"/>
        </w:rPr>
        <w:t>Circulara Ministerului Finanțelor nr.06/2-07 din 08.09.2018.</w:t>
      </w:r>
    </w:p>
  </w:footnote>
  <w:footnote w:id="50">
    <w:p w14:paraId="5241FB0C" w14:textId="370BF739" w:rsidR="00BA41FB" w:rsidRPr="006C4F60" w:rsidRDefault="00BA41FB" w:rsidP="00853D5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Exemplu: LTR „Ion Creangă” mun. Bălți </w:t>
      </w:r>
      <w:r>
        <w:rPr>
          <w:rFonts w:asciiTheme="majorHAnsi" w:hAnsiTheme="majorHAnsi" w:cstheme="majorHAnsi"/>
          <w:sz w:val="16"/>
          <w:szCs w:val="16"/>
          <w:lang w:val="ro-MD"/>
        </w:rPr>
        <w:t xml:space="preserve">cu un </w:t>
      </w:r>
      <w:r w:rsidRPr="005C1794">
        <w:rPr>
          <w:rFonts w:asciiTheme="majorHAnsi" w:hAnsiTheme="majorHAnsi" w:cstheme="majorHAnsi"/>
          <w:sz w:val="16"/>
          <w:szCs w:val="16"/>
          <w:lang w:val="ro-MD"/>
        </w:rPr>
        <w:t xml:space="preserve">efectiv de 425 elevi: finanțarea din bugetul de stat urma să fie aprobată în limita a 6446,4 mii lei, </w:t>
      </w:r>
      <w:r w:rsidRPr="005C1794">
        <w:rPr>
          <w:rFonts w:asciiTheme="majorHAnsi" w:eastAsia="Times New Roman" w:hAnsiTheme="majorHAnsi" w:cstheme="majorHAnsi"/>
          <w:sz w:val="16"/>
          <w:szCs w:val="16"/>
          <w:lang w:val="ro-MD"/>
        </w:rPr>
        <w:t xml:space="preserve">cheltuielile de casă au constituit 6725,8 mii lei. </w:t>
      </w:r>
      <w:r w:rsidRPr="005C1794">
        <w:rPr>
          <w:rFonts w:asciiTheme="majorHAnsi" w:hAnsiTheme="majorHAnsi" w:cstheme="majorHAnsi"/>
          <w:sz w:val="16"/>
          <w:szCs w:val="16"/>
          <w:lang w:val="ro-MD"/>
        </w:rPr>
        <w:t>LTR „Aristotel” mun. Chișinău</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 xml:space="preserve">cu un </w:t>
      </w:r>
      <w:r w:rsidRPr="005C1794">
        <w:rPr>
          <w:rFonts w:asciiTheme="majorHAnsi" w:hAnsiTheme="majorHAnsi" w:cstheme="majorHAnsi"/>
          <w:sz w:val="16"/>
          <w:szCs w:val="16"/>
          <w:lang w:val="ro-MD"/>
        </w:rPr>
        <w:t xml:space="preserve">efectiv de 270 elevi: finanțarea din bugetul de stat urma să fie aprobată în limita a 4220,2 mii lei, </w:t>
      </w:r>
      <w:r w:rsidRPr="006C4F60">
        <w:rPr>
          <w:rFonts w:asciiTheme="majorHAnsi" w:eastAsia="Times New Roman" w:hAnsiTheme="majorHAnsi" w:cstheme="majorHAnsi"/>
          <w:sz w:val="16"/>
          <w:szCs w:val="16"/>
          <w:lang w:val="ro-MD"/>
        </w:rPr>
        <w:t>cheltuielile de casă au constituit 7670,7 mii lei (fără alimentare, bursă, active nefinanciare).</w:t>
      </w:r>
    </w:p>
  </w:footnote>
  <w:footnote w:id="51">
    <w:p w14:paraId="00E6AD42" w14:textId="2755BEE8" w:rsidR="00A613A6" w:rsidRPr="00870B63" w:rsidRDefault="00A613A6" w:rsidP="00870B63">
      <w:pPr>
        <w:spacing w:after="0" w:line="240" w:lineRule="auto"/>
        <w:jc w:val="both"/>
        <w:rPr>
          <w:rFonts w:asciiTheme="majorHAnsi" w:hAnsiTheme="majorHAnsi" w:cstheme="majorHAnsi"/>
          <w:sz w:val="16"/>
          <w:szCs w:val="16"/>
        </w:rPr>
      </w:pPr>
      <w:r w:rsidRPr="00870B63">
        <w:rPr>
          <w:rStyle w:val="FootnoteReference"/>
          <w:rFonts w:asciiTheme="majorHAnsi" w:hAnsiTheme="majorHAnsi" w:cstheme="majorHAnsi"/>
          <w:sz w:val="16"/>
          <w:szCs w:val="16"/>
        </w:rPr>
        <w:footnoteRef/>
      </w:r>
      <w:r w:rsidRPr="00870B63">
        <w:rPr>
          <w:rFonts w:asciiTheme="majorHAnsi" w:hAnsiTheme="majorHAnsi" w:cstheme="majorHAnsi"/>
          <w:sz w:val="16"/>
          <w:szCs w:val="16"/>
        </w:rPr>
        <w:t xml:space="preserve"> art.80</w:t>
      </w:r>
      <w:r w:rsidR="00FC3657">
        <w:rPr>
          <w:rFonts w:asciiTheme="majorHAnsi" w:hAnsiTheme="majorHAnsi" w:cstheme="majorHAnsi"/>
          <w:sz w:val="16"/>
          <w:szCs w:val="16"/>
        </w:rPr>
        <w:t>-</w:t>
      </w:r>
      <w:r w:rsidRPr="00870B63">
        <w:rPr>
          <w:rFonts w:asciiTheme="majorHAnsi" w:hAnsiTheme="majorHAnsi" w:cstheme="majorHAnsi"/>
          <w:sz w:val="16"/>
          <w:szCs w:val="16"/>
        </w:rPr>
        <w:t xml:space="preserve">81 din </w:t>
      </w:r>
      <w:r w:rsidRPr="00870B63">
        <w:rPr>
          <w:rFonts w:asciiTheme="majorHAnsi" w:eastAsia="Times New Roman" w:hAnsiTheme="majorHAnsi" w:cstheme="majorHAnsi"/>
          <w:bCs/>
          <w:sz w:val="16"/>
          <w:szCs w:val="16"/>
        </w:rPr>
        <w:t>Codul cu privire la ştiinţă şi inovare al Republicii Moldova</w:t>
      </w:r>
      <w:r w:rsidRPr="00870B63">
        <w:rPr>
          <w:rFonts w:asciiTheme="majorHAnsi" w:hAnsiTheme="majorHAnsi" w:cstheme="majorHAnsi"/>
          <w:sz w:val="16"/>
          <w:szCs w:val="16"/>
        </w:rPr>
        <w:t xml:space="preserve"> </w:t>
      </w:r>
      <w:r w:rsidR="00FC3657">
        <w:rPr>
          <w:rFonts w:asciiTheme="majorHAnsi" w:eastAsia="Times New Roman" w:hAnsiTheme="majorHAnsi" w:cstheme="majorHAnsi"/>
          <w:bCs/>
          <w:sz w:val="16"/>
          <w:szCs w:val="16"/>
        </w:rPr>
        <w:t>nr.</w:t>
      </w:r>
      <w:r w:rsidRPr="00870B63">
        <w:rPr>
          <w:rFonts w:asciiTheme="majorHAnsi" w:eastAsia="Times New Roman" w:hAnsiTheme="majorHAnsi" w:cstheme="majorHAnsi"/>
          <w:bCs/>
          <w:sz w:val="16"/>
          <w:szCs w:val="16"/>
        </w:rPr>
        <w:t xml:space="preserve">259 din 15.07.2004, </w:t>
      </w:r>
      <w:r w:rsidRPr="00870B63">
        <w:rPr>
          <w:rFonts w:asciiTheme="majorHAnsi" w:hAnsiTheme="majorHAnsi" w:cstheme="majorHAnsi"/>
          <w:sz w:val="16"/>
          <w:szCs w:val="16"/>
        </w:rPr>
        <w:t xml:space="preserve">art.15 din Legea nr.50 din 07.03.2008 privind protecţia invenţiilor, HG </w:t>
      </w:r>
      <w:r w:rsidRPr="00870B63">
        <w:rPr>
          <w:rFonts w:asciiTheme="majorHAnsi" w:hAnsiTheme="majorHAnsi" w:cstheme="majorHAnsi"/>
          <w:bCs/>
          <w:sz w:val="16"/>
          <w:szCs w:val="16"/>
        </w:rPr>
        <w:t xml:space="preserve">nr.1609  din  31.12.2003 despre aprobarea Regulamentului privind obiectele de proprietate intelectuală create în cadrul exercitării tribuţiilor de servicii. </w:t>
      </w:r>
    </w:p>
  </w:footnote>
  <w:footnote w:id="52">
    <w:p w14:paraId="394D809B" w14:textId="57217146" w:rsidR="00BA41FB" w:rsidRPr="006C4F60" w:rsidRDefault="00BA41FB" w:rsidP="009432C1">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Codul cu privire la știință și inovare; art.15</w:t>
      </w:r>
      <w:r>
        <w:rPr>
          <w:rFonts w:asciiTheme="majorHAnsi" w:hAnsiTheme="majorHAnsi" w:cstheme="majorHAnsi"/>
          <w:sz w:val="16"/>
          <w:szCs w:val="16"/>
          <w:lang w:val="ro-MD"/>
        </w:rPr>
        <w:t xml:space="preserve"> din</w:t>
      </w:r>
      <w:r w:rsidRPr="005C1794">
        <w:rPr>
          <w:rFonts w:asciiTheme="majorHAnsi" w:hAnsiTheme="majorHAnsi" w:cstheme="majorHAnsi"/>
          <w:sz w:val="16"/>
          <w:szCs w:val="16"/>
          <w:lang w:val="ro-MD"/>
        </w:rPr>
        <w:t xml:space="preserve"> Legea privind protecția invențiilor nr.50 din 07.03.2008; Legea nr.270 din 23.11.2018 „Cu privire la sistemul unitar de salarizare în sectorul bugetar”; </w:t>
      </w:r>
      <w:r w:rsidRPr="005C1794">
        <w:rPr>
          <w:rFonts w:asciiTheme="majorHAnsi" w:eastAsia="Times New Roman" w:hAnsiTheme="majorHAnsi" w:cstheme="majorHAnsi"/>
          <w:bCs/>
          <w:sz w:val="16"/>
          <w:szCs w:val="16"/>
          <w:lang w:val="ro-MD"/>
        </w:rPr>
        <w:t>pct. 83 din Regulamentul privind finanțarea activităților în sfera științei și inovării și a învățământului academic, aprobat prin HG nr.809 din 29.10.2015.</w:t>
      </w:r>
    </w:p>
  </w:footnote>
  <w:footnote w:id="53">
    <w:p w14:paraId="07338289" w14:textId="390363AC" w:rsidR="00BA41FB" w:rsidRPr="005C1794" w:rsidRDefault="00BA41FB" w:rsidP="00030172">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Anexa nr.1 (pct.13) și Anexa nr.3 (pct.10) </w:t>
      </w:r>
      <w:r>
        <w:rPr>
          <w:rFonts w:asciiTheme="majorHAnsi" w:hAnsiTheme="majorHAnsi" w:cstheme="majorHAnsi"/>
          <w:sz w:val="16"/>
          <w:szCs w:val="16"/>
          <w:lang w:val="ro-MD"/>
        </w:rPr>
        <w:t>la</w:t>
      </w:r>
      <w:r w:rsidRPr="005C1794">
        <w:rPr>
          <w:rFonts w:asciiTheme="majorHAnsi" w:hAnsiTheme="majorHAnsi" w:cstheme="majorHAnsi"/>
          <w:sz w:val="16"/>
          <w:szCs w:val="16"/>
          <w:lang w:val="ro-MD"/>
        </w:rPr>
        <w:t xml:space="preserve"> Regulamentul aprobat prin HG nr.876 din 22.12.2015 „Cu privire la asigurarea cu manuale a elevilor”.</w:t>
      </w:r>
    </w:p>
  </w:footnote>
  <w:footnote w:id="54">
    <w:p w14:paraId="5E238820" w14:textId="52137DC6" w:rsidR="00BA41FB" w:rsidRPr="005C1794" w:rsidRDefault="00BA41FB" w:rsidP="00030172">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Notă: cu o marjă de eroare pentru contractele de achiziții care nu au fost raportate către Agenția Achiziții </w:t>
      </w:r>
      <w:r>
        <w:rPr>
          <w:rFonts w:asciiTheme="majorHAnsi" w:hAnsiTheme="majorHAnsi" w:cstheme="majorHAnsi"/>
          <w:sz w:val="16"/>
          <w:szCs w:val="16"/>
          <w:lang w:val="ro-MD"/>
        </w:rPr>
        <w:t>P</w:t>
      </w:r>
      <w:r w:rsidRPr="005C1794">
        <w:rPr>
          <w:rFonts w:asciiTheme="majorHAnsi" w:hAnsiTheme="majorHAnsi" w:cstheme="majorHAnsi"/>
          <w:sz w:val="16"/>
          <w:szCs w:val="16"/>
          <w:lang w:val="ro-MD"/>
        </w:rPr>
        <w:t>ublice.</w:t>
      </w:r>
    </w:p>
  </w:footnote>
  <w:footnote w:id="55">
    <w:p w14:paraId="1A8A2EE4" w14:textId="0DB84BFC" w:rsidR="00BA41FB" w:rsidRPr="00BF5358" w:rsidRDefault="00BA41FB">
      <w:pPr>
        <w:pStyle w:val="FootnoteText"/>
        <w:rPr>
          <w:rFonts w:asciiTheme="majorHAnsi" w:hAnsiTheme="majorHAnsi" w:cstheme="majorHAnsi"/>
          <w:sz w:val="16"/>
          <w:szCs w:val="16"/>
          <w:lang w:val="fr-FR"/>
        </w:rPr>
      </w:pPr>
      <w:r w:rsidRPr="005C1794">
        <w:rPr>
          <w:rStyle w:val="FootnoteReference"/>
          <w:rFonts w:asciiTheme="majorHAnsi" w:hAnsiTheme="majorHAnsi" w:cstheme="majorHAnsi"/>
          <w:sz w:val="16"/>
          <w:szCs w:val="16"/>
        </w:rPr>
        <w:footnoteRef/>
      </w:r>
      <w:r w:rsidRPr="00BF5358">
        <w:rPr>
          <w:rFonts w:asciiTheme="majorHAnsi" w:hAnsiTheme="majorHAnsi" w:cstheme="majorHAnsi"/>
          <w:sz w:val="16"/>
          <w:szCs w:val="16"/>
          <w:lang w:val="fr-FR"/>
        </w:rPr>
        <w:t xml:space="preserve"> Procurări de manuale</w:t>
      </w:r>
      <w:r w:rsidR="000107F1" w:rsidRPr="00BF5358">
        <w:rPr>
          <w:rFonts w:asciiTheme="majorHAnsi" w:hAnsiTheme="majorHAnsi" w:cstheme="majorHAnsi"/>
          <w:sz w:val="16"/>
          <w:szCs w:val="16"/>
          <w:lang w:val="fr-FR"/>
        </w:rPr>
        <w:t>/fond didactic</w:t>
      </w:r>
      <w:r w:rsidRPr="00BF5358">
        <w:rPr>
          <w:rFonts w:asciiTheme="majorHAnsi" w:hAnsiTheme="majorHAnsi" w:cstheme="majorHAnsi"/>
          <w:sz w:val="16"/>
          <w:szCs w:val="16"/>
          <w:lang w:val="fr-FR"/>
        </w:rPr>
        <w:t xml:space="preserve"> în anul 2019 în sumă de 18261,9 mii lei.</w:t>
      </w:r>
    </w:p>
  </w:footnote>
  <w:footnote w:id="56">
    <w:p w14:paraId="142A22F9" w14:textId="6E9ED8F2" w:rsidR="00BA41FB" w:rsidRPr="005C1794" w:rsidRDefault="00BA41FB" w:rsidP="00030172">
      <w:pPr>
        <w:pStyle w:val="FootnoteText"/>
        <w:jc w:val="both"/>
        <w:rPr>
          <w:rFonts w:asciiTheme="majorHAnsi" w:hAnsiTheme="majorHAnsi" w:cstheme="majorHAnsi"/>
          <w:color w:val="FF0000"/>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Institutul Național </w:t>
      </w:r>
      <w:r>
        <w:rPr>
          <w:rFonts w:asciiTheme="majorHAnsi" w:hAnsiTheme="majorHAnsi" w:cstheme="majorHAnsi"/>
          <w:sz w:val="16"/>
          <w:szCs w:val="16"/>
          <w:lang w:val="ro-MD"/>
        </w:rPr>
        <w:t xml:space="preserve">de </w:t>
      </w:r>
      <w:r w:rsidRPr="005C1794">
        <w:rPr>
          <w:rFonts w:asciiTheme="majorHAnsi" w:hAnsiTheme="majorHAnsi" w:cstheme="majorHAnsi"/>
          <w:sz w:val="16"/>
          <w:szCs w:val="16"/>
          <w:lang w:val="ro-MD"/>
        </w:rPr>
        <w:t xml:space="preserve">Cercetări Economice – 325,1 mii lei. </w:t>
      </w:r>
    </w:p>
  </w:footnote>
  <w:footnote w:id="57">
    <w:p w14:paraId="2F8C5ACA" w14:textId="7B12F264" w:rsidR="00BA41FB" w:rsidRPr="005C1794" w:rsidRDefault="00BA41FB" w:rsidP="00030172">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Biblioteca Națională – 1328,4 mii lei; LT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Alexandru cel Bun</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mun. Bender – 79,9 mii lei.</w:t>
      </w:r>
    </w:p>
  </w:footnote>
  <w:footnote w:id="58">
    <w:p w14:paraId="3683B0EE" w14:textId="03B292E1" w:rsidR="00BA41FB" w:rsidRPr="005C1794" w:rsidRDefault="00BA41FB" w:rsidP="00030172">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Camera Națională a Cărții – 211,2 mii lei; Muzeul Na</w:t>
      </w:r>
      <w:r>
        <w:rPr>
          <w:rFonts w:asciiTheme="majorHAnsi" w:hAnsiTheme="majorHAnsi" w:cstheme="majorHAnsi"/>
          <w:sz w:val="16"/>
          <w:szCs w:val="16"/>
          <w:lang w:val="ro-MD"/>
        </w:rPr>
        <w:t>ț</w:t>
      </w:r>
      <w:r w:rsidRPr="005C1794">
        <w:rPr>
          <w:rFonts w:asciiTheme="majorHAnsi" w:hAnsiTheme="majorHAnsi" w:cstheme="majorHAnsi"/>
          <w:sz w:val="16"/>
          <w:szCs w:val="16"/>
          <w:lang w:val="ro-MD"/>
        </w:rPr>
        <w:t>ional de Literatur</w:t>
      </w:r>
      <w:r>
        <w:rPr>
          <w:rFonts w:asciiTheme="majorHAnsi" w:hAnsiTheme="majorHAnsi" w:cstheme="majorHAnsi"/>
          <w:sz w:val="16"/>
          <w:szCs w:val="16"/>
          <w:lang w:val="ro-MD"/>
        </w:rPr>
        <w:t>ă</w:t>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w:t>
      </w:r>
      <w:r w:rsidRPr="005C1794">
        <w:rPr>
          <w:rFonts w:asciiTheme="majorHAnsi" w:hAnsiTheme="majorHAnsi" w:cstheme="majorHAnsi"/>
          <w:sz w:val="16"/>
          <w:szCs w:val="16"/>
          <w:lang w:val="ro-MD"/>
        </w:rPr>
        <w:t>Mihai</w:t>
      </w:r>
      <w:r>
        <w:rPr>
          <w:rFonts w:asciiTheme="majorHAnsi" w:hAnsiTheme="majorHAnsi" w:cstheme="majorHAnsi"/>
          <w:sz w:val="16"/>
          <w:szCs w:val="16"/>
          <w:lang w:val="ro-MD"/>
        </w:rPr>
        <w:t>l</w:t>
      </w:r>
      <w:r w:rsidRPr="005C1794">
        <w:rPr>
          <w:rFonts w:asciiTheme="majorHAnsi" w:hAnsiTheme="majorHAnsi" w:cstheme="majorHAnsi"/>
          <w:sz w:val="16"/>
          <w:szCs w:val="16"/>
          <w:lang w:val="ro-MD"/>
        </w:rPr>
        <w:t xml:space="preserve"> Kogălniceanu</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 665,0 mii lei.</w:t>
      </w:r>
    </w:p>
  </w:footnote>
  <w:footnote w:id="59">
    <w:p w14:paraId="36F34576" w14:textId="74B975A9" w:rsidR="00BA41FB" w:rsidRPr="006C4F60" w:rsidRDefault="00BA41FB" w:rsidP="00BA0585">
      <w:pPr>
        <w:pStyle w:val="FootnoteText"/>
        <w:rPr>
          <w:rFonts w:asciiTheme="majorHAnsi" w:hAnsiTheme="majorHAnsi" w:cstheme="majorHAnsi"/>
          <w:sz w:val="16"/>
          <w:szCs w:val="16"/>
          <w:lang w:val="ro-MD"/>
        </w:rPr>
      </w:pPr>
      <w:r w:rsidRPr="005C1794">
        <w:rPr>
          <w:rStyle w:val="FootnoteReference"/>
          <w:rFonts w:asciiTheme="majorHAnsi" w:hAnsiTheme="majorHAnsi" w:cstheme="majorHAnsi"/>
          <w:sz w:val="16"/>
          <w:szCs w:val="16"/>
        </w:rPr>
        <w:footnoteRef/>
      </w:r>
      <w:r w:rsidRPr="00BF5358">
        <w:rPr>
          <w:rFonts w:asciiTheme="majorHAnsi" w:hAnsiTheme="majorHAnsi" w:cstheme="majorHAnsi"/>
          <w:sz w:val="16"/>
          <w:szCs w:val="16"/>
          <w:lang w:val="ro-MD"/>
        </w:rPr>
        <w:t xml:space="preserve"> Raportul auditului „Generează impact economic şi social alocarea fondurilor publice pentru învăţămîntul secundar profesional?”, aprobat prin Hotărârea Curții de Conturi nr.2 din 29.01.2015. </w:t>
      </w:r>
    </w:p>
  </w:footnote>
  <w:footnote w:id="60">
    <w:p w14:paraId="2DBCA0FA" w14:textId="1F1FF9A3" w:rsidR="00BA41FB" w:rsidRPr="005C1794" w:rsidRDefault="00BA41FB" w:rsidP="00BA0585">
      <w:pPr>
        <w:pStyle w:val="FootnoteText"/>
        <w:rPr>
          <w:rFonts w:asciiTheme="majorHAnsi" w:hAnsiTheme="majorHAnsi" w:cstheme="majorHAnsi"/>
          <w:sz w:val="16"/>
          <w:szCs w:val="16"/>
        </w:rPr>
      </w:pPr>
      <w:r w:rsidRPr="005C1794">
        <w:rPr>
          <w:rStyle w:val="FootnoteReference"/>
          <w:rFonts w:asciiTheme="majorHAnsi" w:hAnsiTheme="majorHAnsi" w:cstheme="majorHAnsi"/>
          <w:sz w:val="16"/>
          <w:szCs w:val="16"/>
        </w:rPr>
        <w:footnoteRef/>
      </w:r>
      <w:r w:rsidRPr="005C1794">
        <w:rPr>
          <w:rFonts w:asciiTheme="majorHAnsi" w:hAnsiTheme="majorHAnsi" w:cstheme="majorHAnsi"/>
          <w:sz w:val="16"/>
          <w:szCs w:val="16"/>
        </w:rPr>
        <w:t xml:space="preserve"> Pentru </w:t>
      </w:r>
      <w:r w:rsidRPr="005C1794">
        <w:rPr>
          <w:rFonts w:asciiTheme="majorHAnsi" w:hAnsiTheme="majorHAnsi" w:cstheme="majorHAnsi"/>
          <w:sz w:val="16"/>
          <w:szCs w:val="16"/>
          <w:shd w:val="clear" w:color="auto" w:fill="FFFFFF" w:themeFill="background1"/>
          <w:lang w:val="ro-MD"/>
        </w:rPr>
        <w:t xml:space="preserve">I an de studii </w:t>
      </w:r>
      <w:r w:rsidRPr="005C1794">
        <w:rPr>
          <w:rFonts w:asciiTheme="majorHAnsi" w:hAnsiTheme="majorHAnsi" w:cstheme="majorHAnsi"/>
          <w:sz w:val="16"/>
          <w:szCs w:val="16"/>
          <w:lang w:val="ro-MD"/>
        </w:rPr>
        <w:t>–</w:t>
      </w:r>
      <w:r w:rsidRPr="005C1794">
        <w:rPr>
          <w:rFonts w:asciiTheme="majorHAnsi" w:hAnsiTheme="majorHAnsi" w:cstheme="majorHAnsi"/>
          <w:sz w:val="16"/>
          <w:szCs w:val="16"/>
          <w:shd w:val="clear" w:color="auto" w:fill="FFFFFF" w:themeFill="background1"/>
          <w:lang w:val="ro-MD"/>
        </w:rPr>
        <w:t xml:space="preserve"> 688 manuale, setul pentru 1 elev constituie 15 manuale; </w:t>
      </w:r>
      <w:r>
        <w:rPr>
          <w:rFonts w:asciiTheme="majorHAnsi" w:hAnsiTheme="majorHAnsi" w:cstheme="majorHAnsi"/>
          <w:sz w:val="16"/>
          <w:szCs w:val="16"/>
          <w:shd w:val="clear" w:color="auto" w:fill="FFFFFF" w:themeFill="background1"/>
          <w:lang w:val="ro-MD"/>
        </w:rPr>
        <w:t>p</w:t>
      </w:r>
      <w:r w:rsidRPr="005C1794">
        <w:rPr>
          <w:rFonts w:asciiTheme="majorHAnsi" w:hAnsiTheme="majorHAnsi" w:cstheme="majorHAnsi"/>
          <w:sz w:val="16"/>
          <w:szCs w:val="16"/>
          <w:shd w:val="clear" w:color="auto" w:fill="FFFFFF" w:themeFill="background1"/>
          <w:lang w:val="ro-MD"/>
        </w:rPr>
        <w:t>entru an</w:t>
      </w:r>
      <w:r>
        <w:rPr>
          <w:rFonts w:asciiTheme="majorHAnsi" w:hAnsiTheme="majorHAnsi" w:cstheme="majorHAnsi"/>
          <w:sz w:val="16"/>
          <w:szCs w:val="16"/>
          <w:shd w:val="clear" w:color="auto" w:fill="FFFFFF" w:themeFill="background1"/>
          <w:lang w:val="ro-MD"/>
        </w:rPr>
        <w:t>ul II</w:t>
      </w:r>
      <w:r w:rsidRPr="005C1794">
        <w:rPr>
          <w:rFonts w:asciiTheme="majorHAnsi" w:hAnsiTheme="majorHAnsi" w:cstheme="majorHAnsi"/>
          <w:sz w:val="16"/>
          <w:szCs w:val="16"/>
          <w:shd w:val="clear" w:color="auto" w:fill="FFFFFF" w:themeFill="background1"/>
          <w:lang w:val="ro-MD"/>
        </w:rPr>
        <w:t xml:space="preserve"> de studii </w:t>
      </w:r>
      <w:r w:rsidRPr="005C1794">
        <w:rPr>
          <w:rFonts w:asciiTheme="majorHAnsi" w:hAnsiTheme="majorHAnsi" w:cstheme="majorHAnsi"/>
          <w:sz w:val="16"/>
          <w:szCs w:val="16"/>
          <w:lang w:val="ro-MD"/>
        </w:rPr>
        <w:t>–</w:t>
      </w:r>
      <w:r w:rsidRPr="005C1794">
        <w:rPr>
          <w:rFonts w:asciiTheme="majorHAnsi" w:hAnsiTheme="majorHAnsi" w:cstheme="majorHAnsi"/>
          <w:sz w:val="16"/>
          <w:szCs w:val="16"/>
          <w:shd w:val="clear" w:color="auto" w:fill="FFFFFF" w:themeFill="background1"/>
          <w:lang w:val="ro-MD"/>
        </w:rPr>
        <w:t xml:space="preserve"> 714 manuale, setul pentru un elev</w:t>
      </w:r>
      <w:r>
        <w:rPr>
          <w:rFonts w:asciiTheme="majorHAnsi" w:hAnsiTheme="majorHAnsi" w:cstheme="majorHAnsi"/>
          <w:sz w:val="16"/>
          <w:szCs w:val="16"/>
          <w:shd w:val="clear" w:color="auto" w:fill="FFFFFF" w:themeFill="background1"/>
          <w:lang w:val="ro-MD"/>
        </w:rPr>
        <w:t xml:space="preserve"> </w:t>
      </w:r>
      <w:r w:rsidRPr="005C1794">
        <w:rPr>
          <w:rFonts w:asciiTheme="majorHAnsi" w:hAnsiTheme="majorHAnsi" w:cstheme="majorHAnsi"/>
          <w:sz w:val="16"/>
          <w:szCs w:val="16"/>
          <w:lang w:val="ro-MD"/>
        </w:rPr>
        <w:t>–</w:t>
      </w:r>
      <w:r w:rsidRPr="005C1794">
        <w:rPr>
          <w:rFonts w:asciiTheme="majorHAnsi" w:hAnsiTheme="majorHAnsi" w:cstheme="majorHAnsi"/>
          <w:sz w:val="16"/>
          <w:szCs w:val="16"/>
          <w:shd w:val="clear" w:color="auto" w:fill="FFFFFF" w:themeFill="background1"/>
          <w:lang w:val="ro-MD"/>
        </w:rPr>
        <w:t xml:space="preserve"> 13 manuale; </w:t>
      </w:r>
      <w:r>
        <w:rPr>
          <w:rFonts w:asciiTheme="majorHAnsi" w:hAnsiTheme="majorHAnsi" w:cstheme="majorHAnsi"/>
          <w:sz w:val="16"/>
          <w:szCs w:val="16"/>
          <w:shd w:val="clear" w:color="auto" w:fill="FFFFFF" w:themeFill="background1"/>
          <w:lang w:val="ro-MD"/>
        </w:rPr>
        <w:t>p</w:t>
      </w:r>
      <w:r w:rsidRPr="005C1794">
        <w:rPr>
          <w:rFonts w:asciiTheme="majorHAnsi" w:hAnsiTheme="majorHAnsi" w:cstheme="majorHAnsi"/>
          <w:sz w:val="16"/>
          <w:szCs w:val="16"/>
          <w:shd w:val="clear" w:color="auto" w:fill="FFFFFF" w:themeFill="background1"/>
          <w:lang w:val="ro-MD"/>
        </w:rPr>
        <w:t>entru an</w:t>
      </w:r>
      <w:r>
        <w:rPr>
          <w:rFonts w:asciiTheme="majorHAnsi" w:hAnsiTheme="majorHAnsi" w:cstheme="majorHAnsi"/>
          <w:sz w:val="16"/>
          <w:szCs w:val="16"/>
          <w:shd w:val="clear" w:color="auto" w:fill="FFFFFF" w:themeFill="background1"/>
          <w:lang w:val="ro-MD"/>
        </w:rPr>
        <w:t>ul III</w:t>
      </w:r>
      <w:r w:rsidRPr="005C1794">
        <w:rPr>
          <w:rFonts w:asciiTheme="majorHAnsi" w:hAnsiTheme="majorHAnsi" w:cstheme="majorHAnsi"/>
          <w:sz w:val="16"/>
          <w:szCs w:val="16"/>
          <w:shd w:val="clear" w:color="auto" w:fill="FFFFFF" w:themeFill="background1"/>
          <w:lang w:val="ro-MD"/>
        </w:rPr>
        <w:t xml:space="preserve"> de studii </w:t>
      </w:r>
      <w:r w:rsidRPr="005C1794">
        <w:rPr>
          <w:rFonts w:asciiTheme="majorHAnsi" w:hAnsiTheme="majorHAnsi" w:cstheme="majorHAnsi"/>
          <w:sz w:val="16"/>
          <w:szCs w:val="16"/>
          <w:lang w:val="ro-MD"/>
        </w:rPr>
        <w:t>–</w:t>
      </w:r>
      <w:r w:rsidRPr="005C1794">
        <w:rPr>
          <w:rFonts w:asciiTheme="majorHAnsi" w:hAnsiTheme="majorHAnsi" w:cstheme="majorHAnsi"/>
          <w:sz w:val="16"/>
          <w:szCs w:val="16"/>
          <w:shd w:val="clear" w:color="auto" w:fill="FFFFFF" w:themeFill="background1"/>
          <w:lang w:val="ro-MD"/>
        </w:rPr>
        <w:t xml:space="preserve"> 686 manuale, setul pentru 1 elev </w:t>
      </w:r>
      <w:r>
        <w:rPr>
          <w:rFonts w:asciiTheme="majorHAnsi" w:hAnsiTheme="majorHAnsi" w:cstheme="majorHAnsi"/>
          <w:sz w:val="16"/>
          <w:szCs w:val="16"/>
          <w:shd w:val="clear" w:color="auto" w:fill="FFFFFF" w:themeFill="background1"/>
          <w:lang w:val="ro-MD"/>
        </w:rPr>
        <w:t>constituie</w:t>
      </w:r>
      <w:r w:rsidRPr="005C1794">
        <w:rPr>
          <w:rFonts w:asciiTheme="majorHAnsi" w:hAnsiTheme="majorHAnsi" w:cstheme="majorHAnsi"/>
          <w:sz w:val="16"/>
          <w:szCs w:val="16"/>
          <w:shd w:val="clear" w:color="auto" w:fill="FFFFFF" w:themeFill="background1"/>
          <w:lang w:val="ro-MD"/>
        </w:rPr>
        <w:t xml:space="preserve"> 12 manuale.</w:t>
      </w:r>
    </w:p>
  </w:footnote>
  <w:footnote w:id="61">
    <w:p w14:paraId="4EB02B33" w14:textId="28B8A893" w:rsidR="00BA41FB" w:rsidRPr="005C1794" w:rsidRDefault="00BA41FB" w:rsidP="008C5241">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HG nr.266 din 14.03.2006 „Cu privire la alimentația gratuită a elevilor din sistemul de învățăm</w:t>
      </w:r>
      <w:r>
        <w:rPr>
          <w:rFonts w:asciiTheme="majorHAnsi" w:hAnsiTheme="majorHAnsi" w:cstheme="majorHAnsi"/>
          <w:sz w:val="16"/>
          <w:szCs w:val="16"/>
          <w:lang w:val="ro-MD"/>
        </w:rPr>
        <w:t>â</w:t>
      </w:r>
      <w:r w:rsidRPr="005C1794">
        <w:rPr>
          <w:rFonts w:asciiTheme="majorHAnsi" w:hAnsiTheme="majorHAnsi" w:cstheme="majorHAnsi"/>
          <w:sz w:val="16"/>
          <w:szCs w:val="16"/>
          <w:lang w:val="ro-MD"/>
        </w:rPr>
        <w:t>nt secundar profesional”.</w:t>
      </w:r>
    </w:p>
  </w:footnote>
  <w:footnote w:id="62">
    <w:p w14:paraId="5ADBACB5" w14:textId="220E2917" w:rsidR="00BA41FB" w:rsidRPr="005C1794" w:rsidRDefault="00BA41FB" w:rsidP="00771CC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Ordinul </w:t>
      </w:r>
      <w:r>
        <w:rPr>
          <w:rFonts w:asciiTheme="majorHAnsi" w:hAnsiTheme="majorHAnsi" w:cstheme="majorHAnsi"/>
          <w:sz w:val="16"/>
          <w:szCs w:val="16"/>
          <w:lang w:val="ro-MD"/>
        </w:rPr>
        <w:t xml:space="preserve">comun al </w:t>
      </w:r>
      <w:r w:rsidRPr="005C1794">
        <w:rPr>
          <w:rFonts w:asciiTheme="majorHAnsi" w:hAnsiTheme="majorHAnsi" w:cstheme="majorHAnsi"/>
          <w:sz w:val="16"/>
          <w:szCs w:val="16"/>
          <w:lang w:val="ro-MD"/>
        </w:rPr>
        <w:t>Ministerului Educației și Ministerului Finanțelor nr.36 din 31.01.2018 „Cu privire la normele financiare pentru alimentarea copiilor/elevilor din instituțiile de învățământ”.</w:t>
      </w:r>
    </w:p>
  </w:footnote>
  <w:footnote w:id="63">
    <w:p w14:paraId="387D81F5" w14:textId="46A4FE4B" w:rsidR="00BA41FB" w:rsidRPr="006C4F60" w:rsidRDefault="00BA41FB" w:rsidP="00771CC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LT „Mihai Eminescu” </w:t>
      </w:r>
      <w:r>
        <w:rPr>
          <w:rFonts w:asciiTheme="majorHAnsi" w:hAnsiTheme="majorHAnsi" w:cstheme="majorHAnsi"/>
          <w:sz w:val="16"/>
          <w:szCs w:val="16"/>
          <w:lang w:val="ro-MD"/>
        </w:rPr>
        <w:t>din or.</w:t>
      </w:r>
      <w:r w:rsidRPr="005C1794">
        <w:rPr>
          <w:rFonts w:asciiTheme="majorHAnsi" w:hAnsiTheme="majorHAnsi" w:cstheme="majorHAnsi"/>
          <w:sz w:val="16"/>
          <w:szCs w:val="16"/>
          <w:lang w:val="ro-MD"/>
        </w:rPr>
        <w:t>Dubăsari – 69,3 mii lei; LT„Alexandru cel Bun”</w:t>
      </w:r>
      <w:r>
        <w:rPr>
          <w:rFonts w:asciiTheme="majorHAnsi" w:hAnsiTheme="majorHAnsi" w:cstheme="majorHAnsi"/>
          <w:sz w:val="16"/>
          <w:szCs w:val="16"/>
          <w:lang w:val="ro-MD"/>
        </w:rPr>
        <w:t xml:space="preserve">din or. </w:t>
      </w:r>
      <w:r w:rsidRPr="005C1794">
        <w:rPr>
          <w:rFonts w:asciiTheme="majorHAnsi" w:hAnsiTheme="majorHAnsi" w:cstheme="majorHAnsi"/>
          <w:sz w:val="16"/>
          <w:szCs w:val="16"/>
          <w:lang w:val="ro-MD"/>
        </w:rPr>
        <w:t>Bender – 48,5 mii lei; Liceul</w:t>
      </w:r>
      <w:r>
        <w:rPr>
          <w:rFonts w:asciiTheme="majorHAnsi" w:hAnsiTheme="majorHAnsi" w:cstheme="majorHAnsi"/>
          <w:sz w:val="16"/>
          <w:szCs w:val="16"/>
          <w:lang w:val="ro-MD"/>
        </w:rPr>
        <w:t>-</w:t>
      </w:r>
      <w:r w:rsidRPr="005C1794">
        <w:rPr>
          <w:rFonts w:asciiTheme="majorHAnsi" w:hAnsiTheme="majorHAnsi" w:cstheme="majorHAnsi"/>
          <w:sz w:val="16"/>
          <w:szCs w:val="16"/>
          <w:lang w:val="ro-MD"/>
        </w:rPr>
        <w:t>internat republican cu profil sportiv din mun.Chișinău – 180,0 mii lei.</w:t>
      </w:r>
    </w:p>
  </w:footnote>
  <w:footnote w:id="64">
    <w:p w14:paraId="41EF648D" w14:textId="4969383E" w:rsidR="00BA41FB" w:rsidRPr="006C4F60" w:rsidRDefault="00BA41FB" w:rsidP="00771CC4">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Din contul cheltuielilor planificate pentru alimentarea copiilor</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au fost procurate calculatoare în contabilitate, sistem de monitorizare video, materiale de construcții pentru reparația curentă a camerelor </w:t>
      </w:r>
      <w:r w:rsidRPr="006C4F60">
        <w:rPr>
          <w:rFonts w:asciiTheme="majorHAnsi" w:hAnsiTheme="majorHAnsi" w:cstheme="majorHAnsi"/>
          <w:sz w:val="16"/>
          <w:szCs w:val="16"/>
          <w:lang w:val="ro-MD"/>
        </w:rPr>
        <w:t>din cămin.</w:t>
      </w:r>
    </w:p>
  </w:footnote>
  <w:footnote w:id="65">
    <w:p w14:paraId="567EA6A7" w14:textId="5034BC30" w:rsidR="00BA41FB" w:rsidRPr="005C1794" w:rsidRDefault="00BA41FB" w:rsidP="004949B5">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Raport de audit aprobat prin Hotărârea Curții de Conturi nr.47 din 30</w:t>
      </w:r>
      <w:r>
        <w:rPr>
          <w:rFonts w:asciiTheme="majorHAnsi" w:hAnsiTheme="majorHAnsi" w:cstheme="majorHAnsi"/>
          <w:sz w:val="16"/>
          <w:szCs w:val="16"/>
          <w:lang w:val="ro-MD"/>
        </w:rPr>
        <w:t>.05.</w:t>
      </w:r>
      <w:r w:rsidRPr="005C1794">
        <w:rPr>
          <w:rFonts w:asciiTheme="majorHAnsi" w:hAnsiTheme="majorHAnsi" w:cstheme="majorHAnsi"/>
          <w:sz w:val="16"/>
          <w:szCs w:val="16"/>
          <w:lang w:val="ro-MD"/>
        </w:rPr>
        <w:t>2019.</w:t>
      </w:r>
    </w:p>
  </w:footnote>
  <w:footnote w:id="66">
    <w:p w14:paraId="53CC3A1F" w14:textId="77777777" w:rsidR="00BA41FB" w:rsidRPr="005C1794" w:rsidRDefault="00BA41FB" w:rsidP="004949B5">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HG nr.351 din 23.03.2005 „Cu privire la aprobarea listelor bunurilor imobile proprietate publică a statului și la transmiterea unor bunuri imobile”.</w:t>
      </w:r>
    </w:p>
  </w:footnote>
  <w:footnote w:id="67">
    <w:p w14:paraId="31398A8C" w14:textId="088692BA" w:rsidR="00BA41FB" w:rsidRPr="005C1794" w:rsidRDefault="00BA41FB" w:rsidP="003B624E">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De exemplu</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MECC – 2; Muzeul Național de Etnografie și Istorie Naturală – 10; Caza-Muzeu „A.S. Pușkin”</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1; Institutul de Științe ale Educației</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1; Liceul</w:t>
      </w:r>
      <w:r>
        <w:rPr>
          <w:rFonts w:asciiTheme="majorHAnsi" w:hAnsiTheme="majorHAnsi" w:cstheme="majorHAnsi"/>
          <w:sz w:val="16"/>
          <w:szCs w:val="16"/>
          <w:lang w:val="ro-MD"/>
        </w:rPr>
        <w:t>-i</w:t>
      </w:r>
      <w:r w:rsidRPr="005C1794">
        <w:rPr>
          <w:rFonts w:asciiTheme="majorHAnsi" w:hAnsiTheme="majorHAnsi" w:cstheme="majorHAnsi"/>
          <w:sz w:val="16"/>
          <w:szCs w:val="16"/>
          <w:lang w:val="ro-MD"/>
        </w:rPr>
        <w:t>Internat cu Profil Sportiv</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9; Centrul Republican pentru Copii și Tineret – 9; Biblioteca Națională pentru Copii „Ion Creangă” – 3.</w:t>
      </w:r>
    </w:p>
  </w:footnote>
  <w:footnote w:id="68">
    <w:p w14:paraId="7E6ADCC3" w14:textId="2DB79B79" w:rsidR="00BA41FB" w:rsidRPr="005C1794" w:rsidRDefault="00BA41FB" w:rsidP="00BC2AB9">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în termenele și condițiile prevăzute: art.14 alin.(9) și </w:t>
      </w:r>
      <w:r>
        <w:rPr>
          <w:rFonts w:asciiTheme="majorHAnsi" w:hAnsiTheme="majorHAnsi" w:cstheme="majorHAnsi"/>
          <w:sz w:val="16"/>
          <w:szCs w:val="16"/>
          <w:lang w:val="ro-MD"/>
        </w:rPr>
        <w:t>art.</w:t>
      </w:r>
      <w:r w:rsidRPr="005C1794">
        <w:rPr>
          <w:rFonts w:asciiTheme="majorHAnsi" w:hAnsiTheme="majorHAnsi" w:cstheme="majorHAnsi"/>
          <w:sz w:val="16"/>
          <w:szCs w:val="16"/>
          <w:lang w:val="ro-MD"/>
        </w:rPr>
        <w:t>76 alin.(5) din Legea nr.131 din 03.07.2015</w:t>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privind achizițiile publice</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w:t>
      </w:r>
    </w:p>
  </w:footnote>
  <w:footnote w:id="69">
    <w:p w14:paraId="64A42BEF" w14:textId="261E0798" w:rsidR="00BA41FB" w:rsidRPr="006C4F60" w:rsidRDefault="00BA41FB" w:rsidP="00BC2AB9">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 xml:space="preserve">Au fost </w:t>
      </w:r>
      <w:r w:rsidRPr="005C1794">
        <w:rPr>
          <w:rFonts w:asciiTheme="majorHAnsi" w:hAnsiTheme="majorHAnsi" w:cstheme="majorHAnsi"/>
          <w:sz w:val="16"/>
          <w:szCs w:val="16"/>
          <w:lang w:val="ro-MD"/>
        </w:rPr>
        <w:t xml:space="preserve">obținute, estimativ, următoarele materiale: (1) </w:t>
      </w:r>
      <w:r w:rsidRPr="005C1794">
        <w:rPr>
          <w:rFonts w:asciiTheme="majorHAnsi" w:eastAsia="MS Mincho" w:hAnsiTheme="majorHAnsi" w:cstheme="majorHAnsi"/>
          <w:sz w:val="16"/>
          <w:szCs w:val="16"/>
          <w:lang w:val="ro-MD" w:eastAsia="ja-JP"/>
        </w:rPr>
        <w:t>Tâmplărie din lemn, uși/ferestre – 333 m</w:t>
      </w:r>
      <w:r w:rsidRPr="005C1794">
        <w:rPr>
          <w:rFonts w:asciiTheme="majorHAnsi" w:eastAsia="MS Mincho" w:hAnsiTheme="majorHAnsi" w:cstheme="majorHAnsi"/>
          <w:sz w:val="16"/>
          <w:szCs w:val="16"/>
          <w:vertAlign w:val="superscript"/>
          <w:lang w:val="ro-MD" w:eastAsia="ja-JP"/>
        </w:rPr>
        <w:t>2</w:t>
      </w:r>
      <w:r w:rsidRPr="002F164F">
        <w:rPr>
          <w:rFonts w:asciiTheme="majorHAnsi" w:eastAsia="MS Mincho" w:hAnsiTheme="majorHAnsi" w:cstheme="majorHAnsi"/>
          <w:sz w:val="16"/>
          <w:szCs w:val="16"/>
          <w:lang w:val="ro-MD" w:eastAsia="ja-JP"/>
        </w:rPr>
        <w:t>,</w:t>
      </w:r>
      <w:r w:rsidRPr="005C1794">
        <w:rPr>
          <w:rFonts w:asciiTheme="majorHAnsi" w:eastAsia="MS Mincho" w:hAnsiTheme="majorHAnsi" w:cstheme="majorHAnsi"/>
          <w:sz w:val="16"/>
          <w:szCs w:val="16"/>
          <w:lang w:val="ro-MD" w:eastAsia="ja-JP"/>
        </w:rPr>
        <w:t xml:space="preserve"> preluate doar 96,0 m</w:t>
      </w:r>
      <w:r w:rsidRPr="006C4F60">
        <w:rPr>
          <w:rFonts w:asciiTheme="majorHAnsi" w:eastAsia="MS Mincho" w:hAnsiTheme="majorHAnsi" w:cstheme="majorHAnsi"/>
          <w:sz w:val="16"/>
          <w:szCs w:val="16"/>
          <w:vertAlign w:val="superscript"/>
          <w:lang w:val="ro-MD" w:eastAsia="ja-JP"/>
        </w:rPr>
        <w:t>2</w:t>
      </w:r>
      <w:r w:rsidRPr="006C4F60">
        <w:rPr>
          <w:rFonts w:asciiTheme="majorHAnsi" w:eastAsia="MS Mincho" w:hAnsiTheme="majorHAnsi" w:cstheme="majorHAnsi"/>
          <w:sz w:val="16"/>
          <w:szCs w:val="16"/>
          <w:lang w:val="ro-MD" w:eastAsia="ja-JP"/>
        </w:rPr>
        <w:t>; Balustrade, împrejurimi metalice etc</w:t>
      </w:r>
      <w:r>
        <w:rPr>
          <w:rFonts w:asciiTheme="majorHAnsi" w:eastAsia="MS Mincho" w:hAnsiTheme="majorHAnsi" w:cstheme="majorHAnsi"/>
          <w:sz w:val="16"/>
          <w:szCs w:val="16"/>
          <w:lang w:val="ro-MD" w:eastAsia="ja-JP"/>
        </w:rPr>
        <w:t>.</w:t>
      </w:r>
      <w:r w:rsidRPr="006C4F60">
        <w:rPr>
          <w:rFonts w:asciiTheme="majorHAnsi" w:eastAsia="MS Mincho" w:hAnsiTheme="majorHAnsi" w:cstheme="majorHAnsi"/>
          <w:sz w:val="16"/>
          <w:szCs w:val="16"/>
          <w:lang w:val="ro-MD" w:eastAsia="ja-JP"/>
        </w:rPr>
        <w:t xml:space="preserve"> –</w:t>
      </w:r>
      <w:r>
        <w:rPr>
          <w:rFonts w:asciiTheme="majorHAnsi" w:eastAsia="MS Mincho" w:hAnsiTheme="majorHAnsi" w:cstheme="majorHAnsi"/>
          <w:sz w:val="16"/>
          <w:szCs w:val="16"/>
          <w:lang w:val="ro-MD" w:eastAsia="ja-JP"/>
        </w:rPr>
        <w:t xml:space="preserve"> </w:t>
      </w:r>
      <w:r w:rsidRPr="006C4F60">
        <w:rPr>
          <w:rFonts w:asciiTheme="majorHAnsi" w:eastAsia="MS Mincho" w:hAnsiTheme="majorHAnsi" w:cstheme="majorHAnsi"/>
          <w:sz w:val="16"/>
          <w:szCs w:val="16"/>
          <w:lang w:val="ro-MD" w:eastAsia="ja-JP"/>
        </w:rPr>
        <w:t xml:space="preserve">2,7 t; țevile la sistemul de alimentare cu apă/ de încălzire (robinete, țevile </w:t>
      </w:r>
      <w:r>
        <w:rPr>
          <w:rFonts w:asciiTheme="majorHAnsi" w:eastAsia="MS Mincho" w:hAnsiTheme="majorHAnsi" w:cstheme="majorHAnsi"/>
          <w:sz w:val="16"/>
          <w:szCs w:val="16"/>
          <w:lang w:val="ro-MD" w:eastAsia="ja-JP"/>
        </w:rPr>
        <w:t xml:space="preserve">de </w:t>
      </w:r>
      <w:r w:rsidRPr="006C4F60">
        <w:rPr>
          <w:rFonts w:asciiTheme="majorHAnsi" w:eastAsia="MS Mincho" w:hAnsiTheme="majorHAnsi" w:cstheme="majorHAnsi"/>
          <w:sz w:val="16"/>
          <w:szCs w:val="16"/>
          <w:lang w:val="ro-MD" w:eastAsia="ja-JP"/>
        </w:rPr>
        <w:t>la sistemul de încălzire și utilajul adiacent (coturi, flanșe, supape, clapete, diafragme, robinete, vane); radiatoare din fontă (86 buc.), tablouri electrice, metalice din panou, dulap, celulă (18 buc.), candelabre (lustre) sau corpuri de iluminat fluorescente de orice fel (95 buc.), corpuri de iluminat de orice tip, inclusiv tijele și globurile (395 buc.); țevile de la traseul de încălzire termică amplasat în exterior, coturi, vane, flanșe, robinete (10 m – 76x3,5; 610 m - 95x3,5)</w:t>
      </w:r>
      <w:r>
        <w:rPr>
          <w:rFonts w:asciiTheme="majorHAnsi" w:eastAsia="MS Mincho" w:hAnsiTheme="majorHAnsi" w:cstheme="majorHAnsi"/>
          <w:sz w:val="16"/>
          <w:szCs w:val="16"/>
          <w:lang w:val="ro-MD" w:eastAsia="ja-JP"/>
        </w:rPr>
        <w:t>.</w:t>
      </w:r>
    </w:p>
  </w:footnote>
  <w:footnote w:id="70">
    <w:p w14:paraId="31A884CB" w14:textId="69161893" w:rsidR="00BA41FB" w:rsidRPr="006C4F60" w:rsidRDefault="00BA41FB" w:rsidP="00580397">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Pr>
          <w:rFonts w:asciiTheme="majorHAnsi" w:hAnsiTheme="majorHAnsi" w:cstheme="majorHAnsi"/>
          <w:sz w:val="16"/>
          <w:szCs w:val="16"/>
          <w:lang w:val="ro-MD"/>
        </w:rPr>
        <w:t xml:space="preserve"> </w:t>
      </w:r>
      <w:r w:rsidRPr="005C1794">
        <w:rPr>
          <w:rFonts w:asciiTheme="majorHAnsi" w:hAnsiTheme="majorHAnsi" w:cstheme="majorHAnsi"/>
          <w:sz w:val="16"/>
          <w:szCs w:val="16"/>
          <w:lang w:val="ro-MD"/>
        </w:rPr>
        <w:t>În funcție de perioada de garanție, precum și de executare a clauzelor legale și contractuale privind asigurarea executării lucrărilor prin depunerea garanțiilor de bună execuție a contractelor.</w:t>
      </w:r>
    </w:p>
  </w:footnote>
  <w:footnote w:id="71">
    <w:p w14:paraId="28FB377E" w14:textId="6171AC14" w:rsidR="00BA41FB" w:rsidRPr="005C1794" w:rsidRDefault="00BA41FB" w:rsidP="00580397">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Ș</w:t>
      </w:r>
      <w:r>
        <w:rPr>
          <w:rFonts w:asciiTheme="majorHAnsi" w:hAnsiTheme="majorHAnsi" w:cstheme="majorHAnsi"/>
          <w:sz w:val="16"/>
          <w:szCs w:val="16"/>
          <w:lang w:val="ro-MD"/>
        </w:rPr>
        <w:t xml:space="preserve">coala </w:t>
      </w:r>
      <w:r w:rsidRPr="005C1794">
        <w:rPr>
          <w:rFonts w:asciiTheme="majorHAnsi" w:hAnsiTheme="majorHAnsi" w:cstheme="majorHAnsi"/>
          <w:sz w:val="16"/>
          <w:szCs w:val="16"/>
          <w:lang w:val="ro-MD"/>
        </w:rPr>
        <w:t>S</w:t>
      </w:r>
      <w:r>
        <w:rPr>
          <w:rFonts w:asciiTheme="majorHAnsi" w:hAnsiTheme="majorHAnsi" w:cstheme="majorHAnsi"/>
          <w:sz w:val="16"/>
          <w:szCs w:val="16"/>
          <w:lang w:val="ro-MD"/>
        </w:rPr>
        <w:t>portivă</w:t>
      </w:r>
      <w:r w:rsidRPr="005C1794">
        <w:rPr>
          <w:rFonts w:asciiTheme="majorHAnsi" w:hAnsiTheme="majorHAnsi" w:cstheme="majorHAnsi"/>
          <w:sz w:val="16"/>
          <w:szCs w:val="16"/>
          <w:lang w:val="ro-MD"/>
        </w:rPr>
        <w:t xml:space="preserve"> </w:t>
      </w:r>
      <w:r>
        <w:rPr>
          <w:rFonts w:asciiTheme="majorHAnsi" w:hAnsiTheme="majorHAnsi" w:cstheme="majorHAnsi"/>
          <w:sz w:val="16"/>
          <w:szCs w:val="16"/>
          <w:lang w:val="ro-MD"/>
        </w:rPr>
        <w:t xml:space="preserve">de </w:t>
      </w:r>
      <w:r w:rsidRPr="005C1794">
        <w:rPr>
          <w:rFonts w:asciiTheme="majorHAnsi" w:hAnsiTheme="majorHAnsi" w:cstheme="majorHAnsi"/>
          <w:sz w:val="16"/>
          <w:szCs w:val="16"/>
          <w:lang w:val="ro-MD"/>
        </w:rPr>
        <w:t xml:space="preserve">fotbal nr.2 </w:t>
      </w:r>
      <w:r>
        <w:rPr>
          <w:rFonts w:asciiTheme="majorHAnsi" w:hAnsiTheme="majorHAnsi" w:cstheme="majorHAnsi"/>
          <w:sz w:val="16"/>
          <w:szCs w:val="16"/>
          <w:lang w:val="ro-MD"/>
        </w:rPr>
        <w:t xml:space="preserve">din </w:t>
      </w:r>
      <w:r w:rsidRPr="005C1794">
        <w:rPr>
          <w:rFonts w:asciiTheme="majorHAnsi" w:hAnsiTheme="majorHAnsi" w:cstheme="majorHAnsi"/>
          <w:sz w:val="16"/>
          <w:szCs w:val="16"/>
          <w:lang w:val="ro-MD"/>
        </w:rPr>
        <w:t>Chișinău, contract 3,03 mil.lei – 150,0 mii lei; Centrul ARTICO</w:t>
      </w:r>
      <w:r>
        <w:rPr>
          <w:rFonts w:asciiTheme="majorHAnsi" w:hAnsiTheme="majorHAnsi" w:cstheme="majorHAnsi"/>
          <w:sz w:val="16"/>
          <w:szCs w:val="16"/>
          <w:lang w:val="ro-MD"/>
        </w:rPr>
        <w:t>,</w:t>
      </w:r>
      <w:r w:rsidRPr="005C1794">
        <w:rPr>
          <w:rFonts w:asciiTheme="majorHAnsi" w:hAnsiTheme="majorHAnsi" w:cstheme="majorHAnsi"/>
          <w:sz w:val="16"/>
          <w:szCs w:val="16"/>
          <w:lang w:val="ro-MD"/>
        </w:rPr>
        <w:t xml:space="preserve"> cheltuieli </w:t>
      </w:r>
      <w:r>
        <w:rPr>
          <w:rFonts w:asciiTheme="majorHAnsi" w:hAnsiTheme="majorHAnsi" w:cstheme="majorHAnsi"/>
          <w:sz w:val="16"/>
          <w:szCs w:val="16"/>
          <w:lang w:val="ro-MD"/>
        </w:rPr>
        <w:t>prevăzute de</w:t>
      </w:r>
      <w:r w:rsidRPr="005C1794">
        <w:rPr>
          <w:rFonts w:asciiTheme="majorHAnsi" w:hAnsiTheme="majorHAnsi" w:cstheme="majorHAnsi"/>
          <w:sz w:val="16"/>
          <w:szCs w:val="16"/>
          <w:lang w:val="ro-MD"/>
        </w:rPr>
        <w:t xml:space="preserve"> contract </w:t>
      </w:r>
      <w:r>
        <w:rPr>
          <w:rFonts w:asciiTheme="majorHAnsi" w:hAnsiTheme="majorHAnsi" w:cstheme="majorHAnsi"/>
          <w:sz w:val="16"/>
          <w:szCs w:val="16"/>
          <w:lang w:val="ro-MD"/>
        </w:rPr>
        <w:t>în sumă de</w:t>
      </w:r>
      <w:r w:rsidRPr="005C1794">
        <w:rPr>
          <w:rFonts w:asciiTheme="majorHAnsi" w:hAnsiTheme="majorHAnsi" w:cstheme="majorHAnsi"/>
          <w:sz w:val="16"/>
          <w:szCs w:val="16"/>
          <w:lang w:val="ro-MD"/>
        </w:rPr>
        <w:t xml:space="preserve"> 12,88 mil.lei, 644,0 mii lei.</w:t>
      </w:r>
    </w:p>
  </w:footnote>
  <w:footnote w:id="72">
    <w:p w14:paraId="3817C4C1" w14:textId="177C62E7" w:rsidR="00BA41FB" w:rsidRPr="005C1794" w:rsidRDefault="00BA41FB" w:rsidP="00FF4A90">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Contractul de achiziționare a serviciilor informaționale nr.01/NFP/19/ICI din 03.05.2019 – 1474,8 mii lei, înregistrat la Trezoreria Regională Centru nr.2019- 0000012283/16.07.2019</w:t>
      </w:r>
      <w:r w:rsidR="00F55EA1">
        <w:rPr>
          <w:rFonts w:asciiTheme="majorHAnsi" w:hAnsiTheme="majorHAnsi" w:cstheme="majorHAnsi"/>
          <w:sz w:val="16"/>
          <w:szCs w:val="16"/>
          <w:lang w:val="ro-MD"/>
        </w:rPr>
        <w:t>.</w:t>
      </w:r>
    </w:p>
  </w:footnote>
  <w:footnote w:id="73">
    <w:p w14:paraId="4646645A" w14:textId="6BE6DBD8" w:rsidR="00BA41FB" w:rsidRPr="005C1794" w:rsidRDefault="00BA41FB" w:rsidP="00856D48">
      <w:pPr>
        <w:spacing w:after="0" w:line="240" w:lineRule="auto"/>
        <w:jc w:val="both"/>
        <w:rPr>
          <w:rFonts w:asciiTheme="majorHAnsi" w:eastAsia="Calibri" w:hAnsiTheme="majorHAnsi" w:cstheme="majorHAnsi"/>
          <w: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ȘRS de Hipism și Pentatlon Modern – active „animale” de 218,2 mii lei</w:t>
      </w:r>
      <w:r w:rsidR="000107F1">
        <w:rPr>
          <w:rFonts w:asciiTheme="majorHAnsi" w:hAnsiTheme="majorHAnsi" w:cstheme="majorHAnsi"/>
          <w:sz w:val="16"/>
          <w:szCs w:val="16"/>
          <w:lang w:val="ro-MD"/>
        </w:rPr>
        <w:t>.</w:t>
      </w:r>
    </w:p>
  </w:footnote>
  <w:footnote w:id="74">
    <w:p w14:paraId="03C252A1" w14:textId="20C55D6F" w:rsidR="00BA41FB" w:rsidRPr="005C1794" w:rsidRDefault="00BA41FB" w:rsidP="009546D1">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HG nr.806 din 01.08.2018 „cu privire la modificarea unor hotărâri ale </w:t>
      </w:r>
      <w:r w:rsidR="008C183B">
        <w:rPr>
          <w:rFonts w:asciiTheme="majorHAnsi" w:hAnsiTheme="majorHAnsi" w:cstheme="majorHAnsi"/>
          <w:sz w:val="16"/>
          <w:szCs w:val="16"/>
          <w:lang w:val="ro-MD"/>
        </w:rPr>
        <w:t>G</w:t>
      </w:r>
      <w:r w:rsidRPr="005C1794">
        <w:rPr>
          <w:rFonts w:asciiTheme="majorHAnsi" w:hAnsiTheme="majorHAnsi" w:cstheme="majorHAnsi"/>
          <w:sz w:val="16"/>
          <w:szCs w:val="16"/>
          <w:lang w:val="ro-MD"/>
        </w:rPr>
        <w:t>uvernului”.</w:t>
      </w:r>
    </w:p>
  </w:footnote>
  <w:footnote w:id="75">
    <w:p w14:paraId="50E89DE3" w14:textId="684481C3" w:rsidR="00BA41FB" w:rsidRPr="006C4F60" w:rsidRDefault="00BA41FB" w:rsidP="009546D1">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Î.S. Manej de atletică ușoară; Î.S. de Producere și Comerț „Didactica”; Î.S. Centrul Științific Metodic și Editorial „Univers-Pedagogic”; Î.S. Combinatul Poligrafic din Chișinău; Î.S. Firma Editorial-poligrafică „Tipografia Centrală”; Î.S. Editura de Stat „Cartea Moldovei”; Î.S. Editura Didactică de Stat „Lumina”; Î.S. Studioul „Arta-Cinema”; Î.S. Hotelul „Zarea”; Î.S. Revista „Sud-Est”; Î.S. „Gaudeamus-Cinema”; Î.S. Publi</w:t>
      </w:r>
      <w:r w:rsidRPr="006C4F60">
        <w:rPr>
          <w:rFonts w:asciiTheme="majorHAnsi" w:hAnsiTheme="majorHAnsi" w:cstheme="majorHAnsi"/>
          <w:sz w:val="16"/>
          <w:szCs w:val="16"/>
          <w:lang w:val="ro-MD"/>
        </w:rPr>
        <w:t>cația periodică Revista social-culturală „Moldova”; Î.S. Asociația de arte și creație artistică „Interarta”; Î.S. „Agenția Cinemavideo din Strășeni”; Î.S. „Registrul Cinematografic”; SA „Moldcinema”; SA „Moldova Film”.</w:t>
      </w:r>
      <w:r>
        <w:rPr>
          <w:rFonts w:asciiTheme="majorHAnsi" w:hAnsiTheme="majorHAnsi" w:cstheme="majorHAnsi"/>
          <w:sz w:val="16"/>
          <w:szCs w:val="16"/>
          <w:lang w:val="ro-MD"/>
        </w:rPr>
        <w:t xml:space="preserve"> </w:t>
      </w:r>
    </w:p>
  </w:footnote>
  <w:footnote w:id="76">
    <w:p w14:paraId="06FDFE89" w14:textId="77777777" w:rsidR="00BA41FB" w:rsidRPr="005C1794" w:rsidRDefault="00BA41FB" w:rsidP="009546D1">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HG nr.901 din 31.12.2015 „pentru aprobarea Regulamentului cu privire la modul de transmitere a bunurilor proprietate publică”.</w:t>
      </w:r>
    </w:p>
  </w:footnote>
  <w:footnote w:id="77">
    <w:p w14:paraId="591A84EA" w14:textId="77777777" w:rsidR="00BA41FB" w:rsidRPr="006C4F60" w:rsidRDefault="00BA41FB" w:rsidP="009546D1">
      <w:pPr>
        <w:pStyle w:val="FootnoteText"/>
        <w:jc w:val="both"/>
        <w:rPr>
          <w:rFonts w:asciiTheme="majorHAnsi" w:hAnsiTheme="majorHAnsi" w:cstheme="majorHAnsi"/>
          <w:sz w:val="16"/>
          <w:szCs w:val="16"/>
          <w:lang w:val="ro-MD"/>
        </w:rPr>
      </w:pPr>
      <w:r w:rsidRPr="005C1794">
        <w:rPr>
          <w:rStyle w:val="FootnoteReference"/>
          <w:rFonts w:asciiTheme="majorHAnsi" w:hAnsiTheme="majorHAnsi" w:cstheme="majorHAnsi"/>
          <w:sz w:val="16"/>
          <w:szCs w:val="16"/>
          <w:lang w:val="ro-MD"/>
        </w:rPr>
        <w:footnoteRef/>
      </w:r>
      <w:r w:rsidRPr="005C1794">
        <w:rPr>
          <w:rFonts w:asciiTheme="majorHAnsi" w:hAnsiTheme="majorHAnsi" w:cstheme="majorHAnsi"/>
          <w:sz w:val="16"/>
          <w:szCs w:val="16"/>
          <w:lang w:val="ro-MD"/>
        </w:rPr>
        <w:t xml:space="preserve"> Î.S. Hotelul „Zarea”; Î.S. Editura de Stat „Cartea Moldovei”; Editura Didactică de Stat „Lumina”; Î.S. „Combinatul Poligrafic”; Î.S. Firma Editorial-Poligrafică</w:t>
      </w:r>
      <w:r w:rsidRPr="006C4F60">
        <w:rPr>
          <w:rFonts w:asciiTheme="majorHAnsi" w:hAnsiTheme="majorHAnsi" w:cstheme="majorHAnsi"/>
          <w:sz w:val="16"/>
          <w:szCs w:val="16"/>
          <w:lang w:val="ro-MD"/>
        </w:rPr>
        <w:t xml:space="preserve"> „Tipografia Centrală”; S.A. „Moldova-film”; S.A. „Moldcinema”; Revista Social Culturală „Moldova”; ÎS Centrul Științific și Editorial „Universul Pedagogic”; SA „Circul din Chișinău”.</w:t>
      </w:r>
    </w:p>
  </w:footnote>
  <w:footnote w:id="78">
    <w:p w14:paraId="6A8DD88D" w14:textId="712E20C9" w:rsidR="00A150DE" w:rsidRPr="00870B63" w:rsidRDefault="00A150DE" w:rsidP="00870B63">
      <w:pPr>
        <w:pStyle w:val="FootnoteText"/>
        <w:jc w:val="both"/>
        <w:rPr>
          <w:rFonts w:asciiTheme="majorHAnsi" w:hAnsiTheme="majorHAnsi" w:cstheme="majorHAnsi"/>
          <w:sz w:val="16"/>
          <w:szCs w:val="16"/>
          <w:lang w:val="ro-MD"/>
        </w:rPr>
      </w:pPr>
      <w:r w:rsidRPr="00870B63">
        <w:rPr>
          <w:rStyle w:val="FootnoteReference"/>
          <w:rFonts w:asciiTheme="majorHAnsi" w:hAnsiTheme="majorHAnsi" w:cstheme="majorHAnsi"/>
          <w:sz w:val="16"/>
          <w:szCs w:val="16"/>
          <w:lang w:val="ro-MD"/>
        </w:rPr>
        <w:footnoteRef/>
      </w:r>
      <w:r w:rsidRPr="00870B63">
        <w:rPr>
          <w:rFonts w:asciiTheme="majorHAnsi" w:hAnsiTheme="majorHAnsi" w:cstheme="majorHAnsi"/>
          <w:sz w:val="16"/>
          <w:szCs w:val="16"/>
          <w:lang w:val="ro-MD"/>
        </w:rPr>
        <w:t xml:space="preserve"> Pct. </w:t>
      </w:r>
      <w:r w:rsidR="00D96D01" w:rsidRPr="00870B63">
        <w:rPr>
          <w:rFonts w:asciiTheme="majorHAnsi" w:hAnsiTheme="majorHAnsi" w:cstheme="majorHAnsi"/>
          <w:sz w:val="16"/>
          <w:szCs w:val="16"/>
          <w:lang w:val="ro-MD"/>
        </w:rPr>
        <w:t>3.</w:t>
      </w:r>
      <w:r w:rsidRPr="00870B63">
        <w:rPr>
          <w:rFonts w:asciiTheme="majorHAnsi" w:hAnsiTheme="majorHAnsi" w:cstheme="majorHAnsi"/>
          <w:sz w:val="16"/>
          <w:szCs w:val="16"/>
          <w:lang w:val="ro-MD"/>
        </w:rPr>
        <w:t>7. din Raportul auditului rapoartelor financiare ale Ministerului Educației, Culturii și Cercetării încheiate la 31 decembrie 2018, aprobat prin Hotărârea Curții de Conturi nr.48 din 30 mai 2019: „înregistrate la contul „Serviciilor neatribuite altor alineate”</w:t>
      </w:r>
      <w:r w:rsidR="00D96D01" w:rsidRPr="00870B63">
        <w:rPr>
          <w:rFonts w:asciiTheme="majorHAnsi" w:hAnsiTheme="majorHAnsi" w:cstheme="majorHAnsi"/>
          <w:sz w:val="16"/>
          <w:szCs w:val="16"/>
          <w:lang w:val="ro-MD"/>
        </w:rPr>
        <w:t>, dar</w:t>
      </w:r>
      <w:r w:rsidR="00607C4A" w:rsidRPr="00870B63">
        <w:rPr>
          <w:rFonts w:asciiTheme="majorHAnsi" w:hAnsiTheme="majorHAnsi" w:cstheme="majorHAnsi"/>
          <w:sz w:val="16"/>
          <w:szCs w:val="16"/>
          <w:lang w:val="ro-MD"/>
        </w:rPr>
        <w:t xml:space="preserve"> </w:t>
      </w:r>
      <w:r w:rsidRPr="00870B63">
        <w:rPr>
          <w:rFonts w:asciiTheme="majorHAnsi" w:hAnsiTheme="majorHAnsi" w:cstheme="majorHAnsi"/>
          <w:sz w:val="16"/>
          <w:szCs w:val="16"/>
          <w:lang w:val="ro-MD"/>
        </w:rPr>
        <w:t>care urmau a fi atribuite la investiții în curs de execuție (contul 319), iar ulterior transmise SRL „Arena Națională”, cu majorarea valorii investițiilor (contul 415)”.</w:t>
      </w:r>
    </w:p>
  </w:footnote>
  <w:footnote w:id="79">
    <w:p w14:paraId="797264EB" w14:textId="6F030467" w:rsidR="00BA41FB" w:rsidRPr="002F164F" w:rsidRDefault="00BA41FB" w:rsidP="002F164F">
      <w:pPr>
        <w:pStyle w:val="FootnoteText"/>
        <w:jc w:val="both"/>
        <w:rPr>
          <w:rFonts w:asciiTheme="majorHAnsi" w:hAnsiTheme="majorHAnsi" w:cstheme="majorHAnsi"/>
          <w:sz w:val="16"/>
          <w:szCs w:val="16"/>
          <w:lang w:val="ro-RO"/>
        </w:rPr>
      </w:pPr>
      <w:r w:rsidRPr="002F164F">
        <w:rPr>
          <w:rStyle w:val="FootnoteReference"/>
          <w:rFonts w:asciiTheme="majorHAnsi" w:hAnsiTheme="majorHAnsi" w:cstheme="majorHAnsi"/>
          <w:sz w:val="16"/>
          <w:szCs w:val="16"/>
          <w:lang w:val="ro-RO"/>
        </w:rPr>
        <w:footnoteRef/>
      </w:r>
      <w:r w:rsidRPr="002F164F">
        <w:rPr>
          <w:rFonts w:asciiTheme="majorHAnsi" w:hAnsiTheme="majorHAnsi" w:cstheme="majorHAnsi"/>
          <w:sz w:val="16"/>
          <w:szCs w:val="16"/>
          <w:lang w:val="ro-RO"/>
        </w:rPr>
        <w:t xml:space="preserve"> Teatrul </w:t>
      </w:r>
      <w:r>
        <w:rPr>
          <w:rFonts w:asciiTheme="majorHAnsi" w:hAnsiTheme="majorHAnsi" w:cstheme="majorHAnsi"/>
          <w:sz w:val="16"/>
          <w:szCs w:val="16"/>
          <w:lang w:val="ro-RO"/>
        </w:rPr>
        <w:t>„</w:t>
      </w:r>
      <w:r w:rsidRPr="002F164F">
        <w:rPr>
          <w:rFonts w:asciiTheme="majorHAnsi" w:hAnsiTheme="majorHAnsi" w:cstheme="majorHAnsi"/>
          <w:sz w:val="16"/>
          <w:szCs w:val="16"/>
          <w:lang w:val="ro-RO"/>
        </w:rPr>
        <w:t>V. Alecsandri</w:t>
      </w:r>
      <w:r>
        <w:rPr>
          <w:rFonts w:asciiTheme="majorHAnsi" w:hAnsiTheme="majorHAnsi" w:cstheme="majorHAnsi"/>
          <w:sz w:val="16"/>
          <w:szCs w:val="16"/>
          <w:lang w:val="ro-RO"/>
        </w:rPr>
        <w:t>”</w:t>
      </w:r>
      <w:r w:rsidRPr="002F164F">
        <w:rPr>
          <w:rFonts w:asciiTheme="majorHAnsi" w:hAnsiTheme="majorHAnsi" w:cstheme="majorHAnsi"/>
          <w:sz w:val="16"/>
          <w:szCs w:val="16"/>
          <w:lang w:val="ro-RO"/>
        </w:rPr>
        <w:t xml:space="preserve">, Centrul de Cultură și Artă „Ginta Latină”, Muzeul Național de Literatură „Mihail Kogălniceanu”, Biblioteca Națională, </w:t>
      </w:r>
      <w:r w:rsidRPr="002F164F">
        <w:rPr>
          <w:rFonts w:asciiTheme="majorHAnsi" w:hAnsiTheme="majorHAnsi" w:cstheme="majorHAnsi"/>
          <w:bCs/>
          <w:color w:val="000000"/>
          <w:sz w:val="16"/>
          <w:szCs w:val="16"/>
          <w:lang w:val="ro-RO"/>
        </w:rPr>
        <w:t>IP Biblioteca Națională (institut) „Andrei Lupan”, IP Institutul de Inginerie Electronic</w:t>
      </w:r>
      <w:r>
        <w:rPr>
          <w:rFonts w:asciiTheme="majorHAnsi" w:hAnsiTheme="majorHAnsi" w:cstheme="majorHAnsi"/>
          <w:bCs/>
          <w:color w:val="000000"/>
          <w:sz w:val="16"/>
          <w:szCs w:val="16"/>
          <w:lang w:val="ro-RO"/>
        </w:rPr>
        <w:t>ă</w:t>
      </w:r>
      <w:r w:rsidRPr="002F164F">
        <w:rPr>
          <w:rFonts w:asciiTheme="majorHAnsi" w:hAnsiTheme="majorHAnsi" w:cstheme="majorHAnsi"/>
          <w:bCs/>
          <w:color w:val="000000"/>
          <w:sz w:val="16"/>
          <w:szCs w:val="16"/>
          <w:lang w:val="ro-RO"/>
        </w:rPr>
        <w:t xml:space="preserve"> </w:t>
      </w:r>
      <w:r>
        <w:rPr>
          <w:rFonts w:asciiTheme="majorHAnsi" w:hAnsiTheme="majorHAnsi" w:cstheme="majorHAnsi"/>
          <w:bCs/>
          <w:color w:val="000000"/>
          <w:sz w:val="16"/>
          <w:szCs w:val="16"/>
          <w:lang w:val="ro-RO"/>
        </w:rPr>
        <w:t>ș</w:t>
      </w:r>
      <w:r w:rsidRPr="002F164F">
        <w:rPr>
          <w:rFonts w:asciiTheme="majorHAnsi" w:hAnsiTheme="majorHAnsi" w:cstheme="majorHAnsi"/>
          <w:bCs/>
          <w:color w:val="000000"/>
          <w:sz w:val="16"/>
          <w:szCs w:val="16"/>
          <w:lang w:val="ro-RO"/>
        </w:rPr>
        <w:t>i Nanotehnologii „D. Ghi</w:t>
      </w:r>
      <w:r>
        <w:rPr>
          <w:rFonts w:asciiTheme="majorHAnsi" w:hAnsiTheme="majorHAnsi" w:cstheme="majorHAnsi"/>
          <w:bCs/>
          <w:color w:val="000000"/>
          <w:sz w:val="16"/>
          <w:szCs w:val="16"/>
          <w:lang w:val="ro-RO"/>
        </w:rPr>
        <w:t>ț</w:t>
      </w:r>
      <w:r w:rsidRPr="002F164F">
        <w:rPr>
          <w:rFonts w:asciiTheme="majorHAnsi" w:hAnsiTheme="majorHAnsi" w:cstheme="majorHAnsi"/>
          <w:bCs/>
          <w:color w:val="000000"/>
          <w:sz w:val="16"/>
          <w:szCs w:val="16"/>
          <w:lang w:val="ro-RO"/>
        </w:rPr>
        <w:t>u”, Centrul Sportiv de Pr</w:t>
      </w:r>
      <w:r>
        <w:rPr>
          <w:rFonts w:asciiTheme="majorHAnsi" w:hAnsiTheme="majorHAnsi" w:cstheme="majorHAnsi"/>
          <w:bCs/>
          <w:color w:val="000000"/>
          <w:sz w:val="16"/>
          <w:szCs w:val="16"/>
          <w:lang w:val="ro-RO"/>
        </w:rPr>
        <w:t>e</w:t>
      </w:r>
      <w:r w:rsidRPr="002F164F">
        <w:rPr>
          <w:rFonts w:asciiTheme="majorHAnsi" w:hAnsiTheme="majorHAnsi" w:cstheme="majorHAnsi"/>
          <w:bCs/>
          <w:color w:val="000000"/>
          <w:sz w:val="16"/>
          <w:szCs w:val="16"/>
          <w:lang w:val="ro-RO"/>
        </w:rPr>
        <w:t xml:space="preserve">gătire a Loturilor Naționale, </w:t>
      </w:r>
      <w:r w:rsidRPr="002F164F">
        <w:rPr>
          <w:rFonts w:asciiTheme="majorHAnsi" w:eastAsia="Times New Roman" w:hAnsiTheme="majorHAnsi" w:cstheme="majorHAnsi"/>
          <w:bCs/>
          <w:sz w:val="16"/>
          <w:szCs w:val="16"/>
          <w:lang w:val="ro-RO"/>
        </w:rPr>
        <w:t>Institutul de Genetică, Fiziologie și Protecție a Plantelor</w:t>
      </w:r>
      <w:r w:rsidR="0039660A">
        <w:rPr>
          <w:rFonts w:asciiTheme="majorHAnsi" w:eastAsia="Times New Roman" w:hAnsiTheme="majorHAnsi" w:cstheme="majorHAnsi"/>
          <w:bCs/>
          <w:sz w:val="16"/>
          <w:szCs w:val="16"/>
          <w:lang w:val="ro-RO"/>
        </w:rPr>
        <w:t xml:space="preserve">, </w:t>
      </w:r>
      <w:r w:rsidR="0039660A">
        <w:rPr>
          <w:rFonts w:asciiTheme="majorHAnsi" w:eastAsia="Times New Roman" w:hAnsiTheme="majorHAnsi" w:cstheme="majorHAnsi"/>
          <w:bCs/>
          <w:sz w:val="16"/>
          <w:szCs w:val="16"/>
          <w:lang w:val="ro-MD"/>
        </w:rPr>
        <w:t>Școala internat specială pentru copii orbi și slab văzători mun. Bălți, Liceul internat cu profil sportiv, Școala sportivă specializată de tenis mun.Chișinău</w:t>
      </w:r>
      <w:r w:rsidRPr="002F164F">
        <w:rPr>
          <w:rFonts w:asciiTheme="majorHAnsi" w:eastAsia="Times New Roman" w:hAnsiTheme="majorHAnsi" w:cstheme="majorHAnsi"/>
          <w:bCs/>
          <w:sz w:val="16"/>
          <w:szCs w:val="16"/>
          <w:lang w:val="ro-RO"/>
        </w:rPr>
        <w:t>.</w:t>
      </w:r>
    </w:p>
  </w:footnote>
  <w:footnote w:id="80">
    <w:p w14:paraId="3550CF88" w14:textId="76C39571" w:rsidR="00BA41FB" w:rsidRPr="002F164F" w:rsidRDefault="00BA41FB" w:rsidP="004D0E4A">
      <w:pPr>
        <w:spacing w:after="0" w:line="240" w:lineRule="auto"/>
        <w:jc w:val="both"/>
        <w:rPr>
          <w:rFonts w:asciiTheme="majorHAnsi" w:hAnsiTheme="majorHAnsi" w:cstheme="majorHAnsi"/>
          <w:sz w:val="16"/>
          <w:szCs w:val="16"/>
          <w:lang w:val="ro-RO"/>
        </w:rPr>
      </w:pPr>
      <w:r w:rsidRPr="002F164F">
        <w:rPr>
          <w:rStyle w:val="FootnoteReference"/>
          <w:rFonts w:asciiTheme="majorHAnsi" w:hAnsiTheme="majorHAnsi" w:cstheme="majorHAnsi"/>
          <w:sz w:val="16"/>
          <w:szCs w:val="16"/>
          <w:lang w:val="ro-RO"/>
        </w:rPr>
        <w:footnoteRef/>
      </w:r>
      <w:r w:rsidRPr="002F164F">
        <w:rPr>
          <w:rFonts w:asciiTheme="majorHAnsi" w:hAnsiTheme="majorHAnsi" w:cstheme="majorHAnsi"/>
          <w:sz w:val="16"/>
          <w:szCs w:val="16"/>
          <w:lang w:val="ro-RO"/>
        </w:rPr>
        <w:t xml:space="preserve"> </w:t>
      </w:r>
      <w:r w:rsidRPr="002F164F">
        <w:rPr>
          <w:rFonts w:asciiTheme="majorHAnsi" w:hAnsiTheme="majorHAnsi" w:cstheme="majorHAnsi"/>
          <w:color w:val="000000"/>
          <w:sz w:val="16"/>
          <w:szCs w:val="16"/>
          <w:lang w:val="ro-RO"/>
        </w:rPr>
        <w:t xml:space="preserve">Școala Profesională Ciumai (alimentația) – 160,3 mii lei; Școala Profesională Ungheni (bursa) </w:t>
      </w:r>
      <w:r w:rsidRPr="006377DA">
        <w:rPr>
          <w:rFonts w:asciiTheme="majorHAnsi" w:hAnsiTheme="majorHAnsi" w:cstheme="majorHAnsi"/>
          <w:color w:val="000000"/>
          <w:sz w:val="16"/>
          <w:szCs w:val="16"/>
          <w:lang w:val="ro-RO"/>
        </w:rPr>
        <w:t>–</w:t>
      </w:r>
      <w:r>
        <w:rPr>
          <w:rFonts w:asciiTheme="majorHAnsi" w:hAnsiTheme="majorHAnsi" w:cstheme="majorHAnsi"/>
          <w:color w:val="000000"/>
          <w:sz w:val="16"/>
          <w:szCs w:val="16"/>
          <w:lang w:val="ro-RO"/>
        </w:rPr>
        <w:t xml:space="preserve"> </w:t>
      </w:r>
      <w:r w:rsidRPr="002F164F">
        <w:rPr>
          <w:rFonts w:asciiTheme="majorHAnsi" w:hAnsiTheme="majorHAnsi" w:cstheme="majorHAnsi"/>
          <w:color w:val="000000"/>
          <w:sz w:val="16"/>
          <w:szCs w:val="16"/>
          <w:lang w:val="ro-RO"/>
        </w:rPr>
        <w:t>29,6 mii lei; Colegiul tehnic feroviar (bursa) – 39,8 mii lei; Colegiul Politehnic mun.Bălți (comanda) – 165,2 mii lei; Școala Profesională Orhei (comanda)</w:t>
      </w:r>
      <w:r>
        <w:rPr>
          <w:rFonts w:asciiTheme="majorHAnsi" w:hAnsiTheme="majorHAnsi" w:cstheme="majorHAnsi"/>
          <w:color w:val="000000"/>
          <w:sz w:val="16"/>
          <w:szCs w:val="16"/>
          <w:lang w:val="ro-RO"/>
        </w:rPr>
        <w:t xml:space="preserve"> </w:t>
      </w:r>
      <w:r w:rsidRPr="002F164F">
        <w:rPr>
          <w:rFonts w:asciiTheme="majorHAnsi" w:hAnsiTheme="majorHAnsi" w:cstheme="majorHAnsi"/>
          <w:color w:val="000000"/>
          <w:sz w:val="16"/>
          <w:szCs w:val="16"/>
          <w:lang w:val="ro-RO"/>
        </w:rPr>
        <w:t>– 1339,2 mii lei.</w:t>
      </w:r>
    </w:p>
  </w:footnote>
  <w:footnote w:id="81">
    <w:p w14:paraId="2045027B" w14:textId="3DC65382" w:rsidR="00BA41FB" w:rsidRPr="002F164F" w:rsidRDefault="00BA41FB" w:rsidP="004D0E4A">
      <w:pPr>
        <w:pStyle w:val="FootnoteText"/>
        <w:jc w:val="both"/>
        <w:rPr>
          <w:rFonts w:asciiTheme="majorHAnsi" w:hAnsiTheme="majorHAnsi" w:cstheme="majorHAnsi"/>
          <w:sz w:val="16"/>
          <w:szCs w:val="16"/>
          <w:lang w:val="ro-RO"/>
        </w:rPr>
      </w:pPr>
      <w:r w:rsidRPr="002F164F">
        <w:rPr>
          <w:rStyle w:val="FootnoteReference"/>
          <w:rFonts w:asciiTheme="majorHAnsi" w:hAnsiTheme="majorHAnsi" w:cstheme="majorHAnsi"/>
          <w:sz w:val="16"/>
          <w:szCs w:val="16"/>
          <w:lang w:val="ro-RO"/>
        </w:rPr>
        <w:footnoteRef/>
      </w:r>
      <w:r w:rsidRPr="002F164F">
        <w:rPr>
          <w:rFonts w:asciiTheme="majorHAnsi" w:hAnsiTheme="majorHAnsi" w:cstheme="majorHAnsi"/>
          <w:sz w:val="16"/>
          <w:szCs w:val="16"/>
          <w:lang w:val="ro-RO"/>
        </w:rPr>
        <w:t xml:space="preserve"> Art.37 alin.(5) din Legea contabilității nr.113-XVI din 27.04.2007; pct.1.4.1.3. din Anexa nr.1 la Ordinul ministrului finanțelor nr.216 din 28.12.2015; </w:t>
      </w:r>
      <w:r>
        <w:rPr>
          <w:rFonts w:asciiTheme="majorHAnsi" w:hAnsiTheme="majorHAnsi" w:cstheme="majorHAnsi"/>
          <w:sz w:val="16"/>
          <w:szCs w:val="16"/>
          <w:lang w:val="ro-RO"/>
        </w:rPr>
        <w:t>a</w:t>
      </w:r>
      <w:r w:rsidRPr="002F164F">
        <w:rPr>
          <w:rFonts w:asciiTheme="majorHAnsi" w:hAnsiTheme="majorHAnsi" w:cstheme="majorHAnsi"/>
          <w:sz w:val="16"/>
          <w:szCs w:val="16"/>
          <w:lang w:val="ro-RO"/>
        </w:rPr>
        <w:t>rt.21 din Legea finanțelor publice și responsabilității bugetar-fiscale nr.181 din 25.07.2014</w:t>
      </w:r>
      <w:r w:rsidRPr="002F164F">
        <w:rPr>
          <w:rFonts w:asciiTheme="majorHAnsi" w:eastAsia="Times New Roman" w:hAnsiTheme="majorHAnsi" w:cstheme="majorHAnsi"/>
          <w:bCs/>
          <w:color w:val="000000"/>
          <w:sz w:val="16"/>
          <w:szCs w:val="16"/>
          <w:lang w:val="ro-RO"/>
        </w:rPr>
        <w:t>; HG. nr.691 din 30.08.2017 „Cu privire la organizarea și funcționarea Ministerului Educației, Culturii și Cercetării”</w:t>
      </w:r>
      <w:r w:rsidRPr="002F164F">
        <w:rPr>
          <w:rFonts w:asciiTheme="majorHAnsi" w:hAnsiTheme="majorHAnsi" w:cstheme="majorHAnsi"/>
          <w:sz w:val="16"/>
          <w:szCs w:val="16"/>
          <w:lang w:val="ro-RO"/>
        </w:rPr>
        <w:t>.</w:t>
      </w:r>
    </w:p>
  </w:footnote>
  <w:footnote w:id="82">
    <w:p w14:paraId="127CEB73" w14:textId="7C7E7A57" w:rsidR="00BA41FB" w:rsidRPr="002F164F" w:rsidRDefault="00BA41FB" w:rsidP="004D0E4A">
      <w:pPr>
        <w:pStyle w:val="FootnoteText"/>
        <w:jc w:val="both"/>
        <w:rPr>
          <w:rFonts w:asciiTheme="majorHAnsi" w:hAnsiTheme="majorHAnsi" w:cstheme="majorHAnsi"/>
          <w:sz w:val="16"/>
          <w:szCs w:val="16"/>
          <w:lang w:val="ro-RO"/>
        </w:rPr>
      </w:pPr>
      <w:r w:rsidRPr="002F164F">
        <w:rPr>
          <w:rStyle w:val="FootnoteReference"/>
          <w:rFonts w:asciiTheme="majorHAnsi" w:hAnsiTheme="majorHAnsi" w:cstheme="majorHAnsi"/>
          <w:sz w:val="16"/>
          <w:szCs w:val="16"/>
          <w:lang w:val="ro-RO"/>
        </w:rPr>
        <w:footnoteRef/>
      </w:r>
      <w:r w:rsidRPr="002F164F">
        <w:rPr>
          <w:rFonts w:asciiTheme="majorHAnsi" w:hAnsiTheme="majorHAnsi" w:cstheme="majorHAnsi"/>
          <w:sz w:val="16"/>
          <w:szCs w:val="16"/>
          <w:lang w:val="ro-RO"/>
        </w:rPr>
        <w:t xml:space="preserve"> Art.13 alin.(2) din Legea contabilității nr.113-XVI din 27.04.2007.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4BB4"/>
    <w:multiLevelType w:val="hybridMultilevel"/>
    <w:tmpl w:val="DC762A8E"/>
    <w:lvl w:ilvl="0" w:tplc="05BC7A44">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nsid w:val="0384031F"/>
    <w:multiLevelType w:val="multilevel"/>
    <w:tmpl w:val="5AB07B56"/>
    <w:lvl w:ilvl="0">
      <w:start w:val="1"/>
      <w:numFmt w:val="upperRoman"/>
      <w:lvlText w:val="%1."/>
      <w:lvlJc w:val="left"/>
      <w:pPr>
        <w:ind w:left="3414" w:hanging="720"/>
      </w:pPr>
      <w:rPr>
        <w:rFonts w:hint="default"/>
      </w:rPr>
    </w:lvl>
    <w:lvl w:ilvl="1">
      <w:start w:val="5"/>
      <w:numFmt w:val="decimal"/>
      <w:isLgl/>
      <w:lvlText w:val="%1.%2."/>
      <w:lvlJc w:val="left"/>
      <w:pPr>
        <w:ind w:left="3954" w:hanging="720"/>
      </w:pPr>
      <w:rPr>
        <w:rFonts w:hint="default"/>
      </w:rPr>
    </w:lvl>
    <w:lvl w:ilvl="2">
      <w:start w:val="2"/>
      <w:numFmt w:val="decimal"/>
      <w:isLgl/>
      <w:lvlText w:val="%1.%2.%3."/>
      <w:lvlJc w:val="left"/>
      <w:pPr>
        <w:ind w:left="4134" w:hanging="720"/>
      </w:pPr>
      <w:rPr>
        <w:rFonts w:hint="default"/>
      </w:rPr>
    </w:lvl>
    <w:lvl w:ilvl="3">
      <w:start w:val="1"/>
      <w:numFmt w:val="decimal"/>
      <w:isLgl/>
      <w:lvlText w:val="%1.%2.%3.%4."/>
      <w:lvlJc w:val="left"/>
      <w:pPr>
        <w:ind w:left="4674" w:hanging="1080"/>
      </w:pPr>
      <w:rPr>
        <w:rFonts w:hint="default"/>
      </w:rPr>
    </w:lvl>
    <w:lvl w:ilvl="4">
      <w:start w:val="1"/>
      <w:numFmt w:val="decimal"/>
      <w:isLgl/>
      <w:lvlText w:val="%1.%2.%3.%4.%5."/>
      <w:lvlJc w:val="left"/>
      <w:pPr>
        <w:ind w:left="4854" w:hanging="1080"/>
      </w:pPr>
      <w:rPr>
        <w:rFonts w:hint="default"/>
      </w:rPr>
    </w:lvl>
    <w:lvl w:ilvl="5">
      <w:start w:val="1"/>
      <w:numFmt w:val="decimal"/>
      <w:isLgl/>
      <w:lvlText w:val="%1.%2.%3.%4.%5.%6."/>
      <w:lvlJc w:val="left"/>
      <w:pPr>
        <w:ind w:left="5394" w:hanging="1440"/>
      </w:pPr>
      <w:rPr>
        <w:rFonts w:hint="default"/>
      </w:rPr>
    </w:lvl>
    <w:lvl w:ilvl="6">
      <w:start w:val="1"/>
      <w:numFmt w:val="decimal"/>
      <w:isLgl/>
      <w:lvlText w:val="%1.%2.%3.%4.%5.%6.%7."/>
      <w:lvlJc w:val="left"/>
      <w:pPr>
        <w:ind w:left="5934" w:hanging="1800"/>
      </w:pPr>
      <w:rPr>
        <w:rFonts w:hint="default"/>
      </w:rPr>
    </w:lvl>
    <w:lvl w:ilvl="7">
      <w:start w:val="1"/>
      <w:numFmt w:val="decimal"/>
      <w:isLgl/>
      <w:lvlText w:val="%1.%2.%3.%4.%5.%6.%7.%8."/>
      <w:lvlJc w:val="left"/>
      <w:pPr>
        <w:ind w:left="6114" w:hanging="1800"/>
      </w:pPr>
      <w:rPr>
        <w:rFonts w:hint="default"/>
      </w:rPr>
    </w:lvl>
    <w:lvl w:ilvl="8">
      <w:start w:val="1"/>
      <w:numFmt w:val="decimal"/>
      <w:isLgl/>
      <w:lvlText w:val="%1.%2.%3.%4.%5.%6.%7.%8.%9."/>
      <w:lvlJc w:val="left"/>
      <w:pPr>
        <w:ind w:left="6654" w:hanging="2160"/>
      </w:pPr>
      <w:rPr>
        <w:rFonts w:hint="default"/>
      </w:rPr>
    </w:lvl>
  </w:abstractNum>
  <w:abstractNum w:abstractNumId="2">
    <w:nsid w:val="0C293F3F"/>
    <w:multiLevelType w:val="hybridMultilevel"/>
    <w:tmpl w:val="6A0268A2"/>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nsid w:val="0CF13335"/>
    <w:multiLevelType w:val="multilevel"/>
    <w:tmpl w:val="EBE8A6A6"/>
    <w:lvl w:ilvl="0">
      <w:start w:val="2"/>
      <w:numFmt w:val="upperRoman"/>
      <w:lvlText w:val="%1."/>
      <w:lvlJc w:val="left"/>
      <w:pPr>
        <w:ind w:left="1080" w:hanging="720"/>
      </w:pPr>
      <w:rPr>
        <w:rFonts w:hint="default"/>
      </w:rPr>
    </w:lvl>
    <w:lvl w:ilvl="1">
      <w:start w:val="5"/>
      <w:numFmt w:val="decimal"/>
      <w:isLgl/>
      <w:lvlText w:val="%1.%2."/>
      <w:lvlJc w:val="left"/>
      <w:pPr>
        <w:ind w:left="1069" w:hanging="360"/>
      </w:pPr>
      <w:rPr>
        <w:rFonts w:eastAsiaTheme="minorHAnsi" w:hint="default"/>
        <w:color w:val="000000" w:themeColor="text1"/>
      </w:rPr>
    </w:lvl>
    <w:lvl w:ilvl="2">
      <w:start w:val="1"/>
      <w:numFmt w:val="decimal"/>
      <w:isLgl/>
      <w:lvlText w:val="%1.%2.%3."/>
      <w:lvlJc w:val="left"/>
      <w:pPr>
        <w:ind w:left="1778" w:hanging="720"/>
      </w:pPr>
      <w:rPr>
        <w:rFonts w:eastAsiaTheme="minorHAnsi" w:hint="default"/>
        <w:color w:val="000000" w:themeColor="text1"/>
      </w:rPr>
    </w:lvl>
    <w:lvl w:ilvl="3">
      <w:start w:val="1"/>
      <w:numFmt w:val="decimal"/>
      <w:isLgl/>
      <w:lvlText w:val="%1.%2.%3.%4."/>
      <w:lvlJc w:val="left"/>
      <w:pPr>
        <w:ind w:left="2127" w:hanging="720"/>
      </w:pPr>
      <w:rPr>
        <w:rFonts w:eastAsiaTheme="minorHAnsi" w:hint="default"/>
        <w:color w:val="000000" w:themeColor="text1"/>
      </w:rPr>
    </w:lvl>
    <w:lvl w:ilvl="4">
      <w:start w:val="1"/>
      <w:numFmt w:val="decimal"/>
      <w:isLgl/>
      <w:lvlText w:val="%1.%2.%3.%4.%5."/>
      <w:lvlJc w:val="left"/>
      <w:pPr>
        <w:ind w:left="2836" w:hanging="1080"/>
      </w:pPr>
      <w:rPr>
        <w:rFonts w:eastAsiaTheme="minorHAnsi" w:hint="default"/>
        <w:color w:val="000000" w:themeColor="text1"/>
      </w:rPr>
    </w:lvl>
    <w:lvl w:ilvl="5">
      <w:start w:val="1"/>
      <w:numFmt w:val="decimal"/>
      <w:isLgl/>
      <w:lvlText w:val="%1.%2.%3.%4.%5.%6."/>
      <w:lvlJc w:val="left"/>
      <w:pPr>
        <w:ind w:left="3185" w:hanging="1080"/>
      </w:pPr>
      <w:rPr>
        <w:rFonts w:eastAsiaTheme="minorHAnsi" w:hint="default"/>
        <w:color w:val="000000" w:themeColor="text1"/>
      </w:rPr>
    </w:lvl>
    <w:lvl w:ilvl="6">
      <w:start w:val="1"/>
      <w:numFmt w:val="decimal"/>
      <w:isLgl/>
      <w:lvlText w:val="%1.%2.%3.%4.%5.%6.%7."/>
      <w:lvlJc w:val="left"/>
      <w:pPr>
        <w:ind w:left="3894" w:hanging="1440"/>
      </w:pPr>
      <w:rPr>
        <w:rFonts w:eastAsiaTheme="minorHAnsi" w:hint="default"/>
        <w:color w:val="000000" w:themeColor="text1"/>
      </w:rPr>
    </w:lvl>
    <w:lvl w:ilvl="7">
      <w:start w:val="1"/>
      <w:numFmt w:val="decimal"/>
      <w:isLgl/>
      <w:lvlText w:val="%1.%2.%3.%4.%5.%6.%7.%8."/>
      <w:lvlJc w:val="left"/>
      <w:pPr>
        <w:ind w:left="4243" w:hanging="1440"/>
      </w:pPr>
      <w:rPr>
        <w:rFonts w:eastAsiaTheme="minorHAnsi" w:hint="default"/>
        <w:color w:val="000000" w:themeColor="text1"/>
      </w:rPr>
    </w:lvl>
    <w:lvl w:ilvl="8">
      <w:start w:val="1"/>
      <w:numFmt w:val="decimal"/>
      <w:isLgl/>
      <w:lvlText w:val="%1.%2.%3.%4.%5.%6.%7.%8.%9."/>
      <w:lvlJc w:val="left"/>
      <w:pPr>
        <w:ind w:left="4952" w:hanging="1800"/>
      </w:pPr>
      <w:rPr>
        <w:rFonts w:eastAsiaTheme="minorHAnsi" w:hint="default"/>
        <w:color w:val="000000" w:themeColor="text1"/>
      </w:rPr>
    </w:lvl>
  </w:abstractNum>
  <w:abstractNum w:abstractNumId="4">
    <w:nsid w:val="13AE3A29"/>
    <w:multiLevelType w:val="multilevel"/>
    <w:tmpl w:val="FD646FA4"/>
    <w:lvl w:ilvl="0">
      <w:start w:val="2"/>
      <w:numFmt w:val="decimal"/>
      <w:lvlText w:val="%1"/>
      <w:lvlJc w:val="left"/>
      <w:pPr>
        <w:ind w:left="0" w:firstLine="0"/>
      </w:pPr>
      <w:rPr>
        <w:rFonts w:eastAsiaTheme="minorHAnsi" w:hint="default"/>
      </w:rPr>
    </w:lvl>
    <w:lvl w:ilvl="1">
      <w:start w:val="2"/>
      <w:numFmt w:val="decimal"/>
      <w:lvlText w:val="%1.%2"/>
      <w:lvlJc w:val="left"/>
      <w:pPr>
        <w:ind w:left="0" w:firstLine="0"/>
      </w:pPr>
      <w:rPr>
        <w:rFonts w:eastAsiaTheme="minorHAnsi" w:hint="default"/>
      </w:rPr>
    </w:lvl>
    <w:lvl w:ilvl="2">
      <w:start w:val="1"/>
      <w:numFmt w:val="decimal"/>
      <w:lvlText w:val="%1.%2.%3"/>
      <w:lvlJc w:val="left"/>
      <w:pPr>
        <w:ind w:left="360" w:hanging="360"/>
      </w:pPr>
      <w:rPr>
        <w:rFonts w:eastAsiaTheme="minorHAnsi" w:hint="default"/>
      </w:rPr>
    </w:lvl>
    <w:lvl w:ilvl="3">
      <w:start w:val="1"/>
      <w:numFmt w:val="decimal"/>
      <w:lvlText w:val="%1.%2.%3.%4"/>
      <w:lvlJc w:val="left"/>
      <w:pPr>
        <w:ind w:left="360" w:hanging="36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720" w:hanging="72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5">
    <w:nsid w:val="150629AC"/>
    <w:multiLevelType w:val="hybridMultilevel"/>
    <w:tmpl w:val="E3F83800"/>
    <w:lvl w:ilvl="0" w:tplc="0409000D">
      <w:start w:val="1"/>
      <w:numFmt w:val="bullet"/>
      <w:lvlText w:val=""/>
      <w:lvlJc w:val="left"/>
      <w:pPr>
        <w:ind w:left="1291" w:hanging="360"/>
      </w:pPr>
      <w:rPr>
        <w:rFonts w:ascii="Wingdings" w:hAnsi="Wingdings"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6">
    <w:nsid w:val="15382DAB"/>
    <w:multiLevelType w:val="hybridMultilevel"/>
    <w:tmpl w:val="D4543B58"/>
    <w:lvl w:ilvl="0" w:tplc="9E2C7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3003D"/>
    <w:multiLevelType w:val="hybridMultilevel"/>
    <w:tmpl w:val="AEA0D37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BEE2C5D"/>
    <w:multiLevelType w:val="hybridMultilevel"/>
    <w:tmpl w:val="524A782A"/>
    <w:lvl w:ilvl="0" w:tplc="A1D61AB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53436"/>
    <w:multiLevelType w:val="hybridMultilevel"/>
    <w:tmpl w:val="39B2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C7311"/>
    <w:multiLevelType w:val="hybridMultilevel"/>
    <w:tmpl w:val="5B8A35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4AD580A"/>
    <w:multiLevelType w:val="multilevel"/>
    <w:tmpl w:val="A1188610"/>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0E18DA"/>
    <w:multiLevelType w:val="hybridMultilevel"/>
    <w:tmpl w:val="357AD0F8"/>
    <w:lvl w:ilvl="0" w:tplc="A1D61AB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9E2C7DE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F0795"/>
    <w:multiLevelType w:val="hybridMultilevel"/>
    <w:tmpl w:val="2334E816"/>
    <w:lvl w:ilvl="0" w:tplc="68D406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C48DB"/>
    <w:multiLevelType w:val="hybridMultilevel"/>
    <w:tmpl w:val="CECAC9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E164B98"/>
    <w:multiLevelType w:val="hybridMultilevel"/>
    <w:tmpl w:val="A9EE96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EB228B9"/>
    <w:multiLevelType w:val="multilevel"/>
    <w:tmpl w:val="081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30D2EA0"/>
    <w:multiLevelType w:val="hybridMultilevel"/>
    <w:tmpl w:val="7082889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765C00AE"/>
    <w:multiLevelType w:val="multilevel"/>
    <w:tmpl w:val="64129F8C"/>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18"/>
  </w:num>
  <w:num w:numId="6">
    <w:abstractNumId w:val="5"/>
  </w:num>
  <w:num w:numId="7">
    <w:abstractNumId w:val="14"/>
  </w:num>
  <w:num w:numId="8">
    <w:abstractNumId w:val="2"/>
  </w:num>
  <w:num w:numId="9">
    <w:abstractNumId w:val="17"/>
  </w:num>
  <w:num w:numId="10">
    <w:abstractNumId w:val="10"/>
  </w:num>
  <w:num w:numId="11">
    <w:abstractNumId w:val="9"/>
  </w:num>
  <w:num w:numId="12">
    <w:abstractNumId w:val="13"/>
  </w:num>
  <w:num w:numId="13">
    <w:abstractNumId w:val="8"/>
  </w:num>
  <w:num w:numId="14">
    <w:abstractNumId w:val="12"/>
  </w:num>
  <w:num w:numId="15">
    <w:abstractNumId w:val="7"/>
  </w:num>
  <w:num w:numId="16">
    <w:abstractNumId w:val="15"/>
  </w:num>
  <w:num w:numId="17">
    <w:abstractNumId w:val="0"/>
  </w:num>
  <w:num w:numId="18">
    <w:abstractNumId w:val="6"/>
  </w:num>
  <w:num w:numId="19">
    <w:abstractNumId w:val="4"/>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CE"/>
    <w:rsid w:val="000016C6"/>
    <w:rsid w:val="00001DD9"/>
    <w:rsid w:val="000034EB"/>
    <w:rsid w:val="00010067"/>
    <w:rsid w:val="000107F1"/>
    <w:rsid w:val="00010889"/>
    <w:rsid w:val="000111F0"/>
    <w:rsid w:val="000121FB"/>
    <w:rsid w:val="00012E70"/>
    <w:rsid w:val="00013B86"/>
    <w:rsid w:val="0001423E"/>
    <w:rsid w:val="00016C2A"/>
    <w:rsid w:val="00016D1D"/>
    <w:rsid w:val="000206E1"/>
    <w:rsid w:val="00020848"/>
    <w:rsid w:val="00021521"/>
    <w:rsid w:val="00021702"/>
    <w:rsid w:val="00021E3D"/>
    <w:rsid w:val="00023C0C"/>
    <w:rsid w:val="0002418A"/>
    <w:rsid w:val="000254F7"/>
    <w:rsid w:val="000270EA"/>
    <w:rsid w:val="000271FE"/>
    <w:rsid w:val="00027C94"/>
    <w:rsid w:val="00030172"/>
    <w:rsid w:val="000302EC"/>
    <w:rsid w:val="00030696"/>
    <w:rsid w:val="00030E5C"/>
    <w:rsid w:val="000316B1"/>
    <w:rsid w:val="00031AD0"/>
    <w:rsid w:val="0003234A"/>
    <w:rsid w:val="00032E86"/>
    <w:rsid w:val="000355F9"/>
    <w:rsid w:val="00035F41"/>
    <w:rsid w:val="000400E8"/>
    <w:rsid w:val="00041228"/>
    <w:rsid w:val="000413E4"/>
    <w:rsid w:val="00041653"/>
    <w:rsid w:val="0004196A"/>
    <w:rsid w:val="00045E74"/>
    <w:rsid w:val="00050210"/>
    <w:rsid w:val="0005164B"/>
    <w:rsid w:val="0005248A"/>
    <w:rsid w:val="00054091"/>
    <w:rsid w:val="00054D93"/>
    <w:rsid w:val="00060FC3"/>
    <w:rsid w:val="000613B8"/>
    <w:rsid w:val="000630FC"/>
    <w:rsid w:val="0006496A"/>
    <w:rsid w:val="00064DF6"/>
    <w:rsid w:val="00065C55"/>
    <w:rsid w:val="00070D8F"/>
    <w:rsid w:val="00072AC8"/>
    <w:rsid w:val="0007318B"/>
    <w:rsid w:val="00073E47"/>
    <w:rsid w:val="000744BE"/>
    <w:rsid w:val="000746D8"/>
    <w:rsid w:val="000761C0"/>
    <w:rsid w:val="000774C2"/>
    <w:rsid w:val="000778E2"/>
    <w:rsid w:val="00080944"/>
    <w:rsid w:val="0008100D"/>
    <w:rsid w:val="000811E4"/>
    <w:rsid w:val="00081C24"/>
    <w:rsid w:val="000821C7"/>
    <w:rsid w:val="0008280F"/>
    <w:rsid w:val="000834AF"/>
    <w:rsid w:val="00085D8E"/>
    <w:rsid w:val="000869C4"/>
    <w:rsid w:val="00086FB4"/>
    <w:rsid w:val="00087056"/>
    <w:rsid w:val="000909D2"/>
    <w:rsid w:val="00091AD9"/>
    <w:rsid w:val="00092953"/>
    <w:rsid w:val="00092F5C"/>
    <w:rsid w:val="00093EDE"/>
    <w:rsid w:val="00097487"/>
    <w:rsid w:val="000A0E2D"/>
    <w:rsid w:val="000A18FC"/>
    <w:rsid w:val="000A3ADD"/>
    <w:rsid w:val="000A511C"/>
    <w:rsid w:val="000A61BA"/>
    <w:rsid w:val="000A6598"/>
    <w:rsid w:val="000A6B02"/>
    <w:rsid w:val="000B0C8A"/>
    <w:rsid w:val="000B0E79"/>
    <w:rsid w:val="000B17E1"/>
    <w:rsid w:val="000B1953"/>
    <w:rsid w:val="000B1A2E"/>
    <w:rsid w:val="000B21C1"/>
    <w:rsid w:val="000B2B40"/>
    <w:rsid w:val="000B35C8"/>
    <w:rsid w:val="000B4F55"/>
    <w:rsid w:val="000B5E2F"/>
    <w:rsid w:val="000B6145"/>
    <w:rsid w:val="000C0793"/>
    <w:rsid w:val="000C0F41"/>
    <w:rsid w:val="000C1128"/>
    <w:rsid w:val="000C3944"/>
    <w:rsid w:val="000C4BF8"/>
    <w:rsid w:val="000C5CA6"/>
    <w:rsid w:val="000C68CB"/>
    <w:rsid w:val="000C72A7"/>
    <w:rsid w:val="000D1275"/>
    <w:rsid w:val="000D151A"/>
    <w:rsid w:val="000D2BFE"/>
    <w:rsid w:val="000D4446"/>
    <w:rsid w:val="000D4D99"/>
    <w:rsid w:val="000D4F60"/>
    <w:rsid w:val="000E1771"/>
    <w:rsid w:val="000E1BCA"/>
    <w:rsid w:val="000E1BE9"/>
    <w:rsid w:val="000E1C62"/>
    <w:rsid w:val="000E2B3D"/>
    <w:rsid w:val="000E32A6"/>
    <w:rsid w:val="000E3BFE"/>
    <w:rsid w:val="000E422C"/>
    <w:rsid w:val="000E54F2"/>
    <w:rsid w:val="000E60E8"/>
    <w:rsid w:val="000E63CE"/>
    <w:rsid w:val="000F1A94"/>
    <w:rsid w:val="000F2545"/>
    <w:rsid w:val="000F3810"/>
    <w:rsid w:val="000F4A62"/>
    <w:rsid w:val="000F50A4"/>
    <w:rsid w:val="000F660B"/>
    <w:rsid w:val="000F755E"/>
    <w:rsid w:val="001004F4"/>
    <w:rsid w:val="00102312"/>
    <w:rsid w:val="001026A3"/>
    <w:rsid w:val="00102B38"/>
    <w:rsid w:val="00102CD1"/>
    <w:rsid w:val="00103221"/>
    <w:rsid w:val="0010371F"/>
    <w:rsid w:val="001057F9"/>
    <w:rsid w:val="00106931"/>
    <w:rsid w:val="00106EED"/>
    <w:rsid w:val="001108CD"/>
    <w:rsid w:val="00111EA0"/>
    <w:rsid w:val="00112068"/>
    <w:rsid w:val="001126F0"/>
    <w:rsid w:val="00113246"/>
    <w:rsid w:val="001135C4"/>
    <w:rsid w:val="00115D43"/>
    <w:rsid w:val="00116169"/>
    <w:rsid w:val="001164DC"/>
    <w:rsid w:val="00116B83"/>
    <w:rsid w:val="00117530"/>
    <w:rsid w:val="00121EA1"/>
    <w:rsid w:val="00122012"/>
    <w:rsid w:val="00124D2E"/>
    <w:rsid w:val="001253A5"/>
    <w:rsid w:val="001254DB"/>
    <w:rsid w:val="00130C48"/>
    <w:rsid w:val="00131A7B"/>
    <w:rsid w:val="00131E61"/>
    <w:rsid w:val="001320E4"/>
    <w:rsid w:val="00133279"/>
    <w:rsid w:val="001335D3"/>
    <w:rsid w:val="0013370A"/>
    <w:rsid w:val="00133B00"/>
    <w:rsid w:val="0013566B"/>
    <w:rsid w:val="001356E7"/>
    <w:rsid w:val="00140736"/>
    <w:rsid w:val="001416CF"/>
    <w:rsid w:val="0014178F"/>
    <w:rsid w:val="001421A7"/>
    <w:rsid w:val="00143F94"/>
    <w:rsid w:val="0014416C"/>
    <w:rsid w:val="00146135"/>
    <w:rsid w:val="00147DE7"/>
    <w:rsid w:val="001517A7"/>
    <w:rsid w:val="00151E8A"/>
    <w:rsid w:val="001538DD"/>
    <w:rsid w:val="00154477"/>
    <w:rsid w:val="001549EA"/>
    <w:rsid w:val="00155435"/>
    <w:rsid w:val="00155474"/>
    <w:rsid w:val="00157A3E"/>
    <w:rsid w:val="00164D47"/>
    <w:rsid w:val="0016559C"/>
    <w:rsid w:val="001665FF"/>
    <w:rsid w:val="001701DF"/>
    <w:rsid w:val="00172E6C"/>
    <w:rsid w:val="001751E7"/>
    <w:rsid w:val="00175E0D"/>
    <w:rsid w:val="0017652D"/>
    <w:rsid w:val="00176AD7"/>
    <w:rsid w:val="00176E74"/>
    <w:rsid w:val="00177BDB"/>
    <w:rsid w:val="001801E8"/>
    <w:rsid w:val="001807E5"/>
    <w:rsid w:val="00180DF9"/>
    <w:rsid w:val="00182817"/>
    <w:rsid w:val="00182F79"/>
    <w:rsid w:val="00183216"/>
    <w:rsid w:val="00183C2D"/>
    <w:rsid w:val="00185952"/>
    <w:rsid w:val="001901E8"/>
    <w:rsid w:val="0019045F"/>
    <w:rsid w:val="00194C2B"/>
    <w:rsid w:val="00195B07"/>
    <w:rsid w:val="001A0C62"/>
    <w:rsid w:val="001A37BA"/>
    <w:rsid w:val="001A63FE"/>
    <w:rsid w:val="001A6965"/>
    <w:rsid w:val="001A763D"/>
    <w:rsid w:val="001B0265"/>
    <w:rsid w:val="001B09F8"/>
    <w:rsid w:val="001B0D88"/>
    <w:rsid w:val="001B231C"/>
    <w:rsid w:val="001B37FC"/>
    <w:rsid w:val="001B3AEF"/>
    <w:rsid w:val="001B50E5"/>
    <w:rsid w:val="001B52CA"/>
    <w:rsid w:val="001B6368"/>
    <w:rsid w:val="001C1403"/>
    <w:rsid w:val="001C22C1"/>
    <w:rsid w:val="001C23A2"/>
    <w:rsid w:val="001C23E3"/>
    <w:rsid w:val="001C2B4D"/>
    <w:rsid w:val="001C2FA2"/>
    <w:rsid w:val="001C3AAE"/>
    <w:rsid w:val="001C4600"/>
    <w:rsid w:val="001C5122"/>
    <w:rsid w:val="001D0234"/>
    <w:rsid w:val="001D20EB"/>
    <w:rsid w:val="001D3395"/>
    <w:rsid w:val="001D4232"/>
    <w:rsid w:val="001D47E4"/>
    <w:rsid w:val="001D63FA"/>
    <w:rsid w:val="001E0F4C"/>
    <w:rsid w:val="001E18C6"/>
    <w:rsid w:val="001E3E86"/>
    <w:rsid w:val="001E408A"/>
    <w:rsid w:val="001E4765"/>
    <w:rsid w:val="001E4ACB"/>
    <w:rsid w:val="001E4C2C"/>
    <w:rsid w:val="001E64C8"/>
    <w:rsid w:val="001F00A4"/>
    <w:rsid w:val="001F21A4"/>
    <w:rsid w:val="001F6C84"/>
    <w:rsid w:val="001F7B67"/>
    <w:rsid w:val="002008F5"/>
    <w:rsid w:val="00202E35"/>
    <w:rsid w:val="00202ED6"/>
    <w:rsid w:val="00203CC2"/>
    <w:rsid w:val="00205124"/>
    <w:rsid w:val="0020789B"/>
    <w:rsid w:val="00207A19"/>
    <w:rsid w:val="00207C12"/>
    <w:rsid w:val="0021113F"/>
    <w:rsid w:val="00211180"/>
    <w:rsid w:val="00212336"/>
    <w:rsid w:val="00212337"/>
    <w:rsid w:val="002125E2"/>
    <w:rsid w:val="00215605"/>
    <w:rsid w:val="00215920"/>
    <w:rsid w:val="00215C5E"/>
    <w:rsid w:val="00216B78"/>
    <w:rsid w:val="00216F1B"/>
    <w:rsid w:val="002176D3"/>
    <w:rsid w:val="002205F5"/>
    <w:rsid w:val="00221F6A"/>
    <w:rsid w:val="00223312"/>
    <w:rsid w:val="00224B4F"/>
    <w:rsid w:val="00226F28"/>
    <w:rsid w:val="00230CF5"/>
    <w:rsid w:val="00232FAA"/>
    <w:rsid w:val="00234C54"/>
    <w:rsid w:val="00234F07"/>
    <w:rsid w:val="00235F67"/>
    <w:rsid w:val="00237087"/>
    <w:rsid w:val="00240115"/>
    <w:rsid w:val="00240E49"/>
    <w:rsid w:val="00241538"/>
    <w:rsid w:val="00241D3F"/>
    <w:rsid w:val="0024510E"/>
    <w:rsid w:val="0024550E"/>
    <w:rsid w:val="00246350"/>
    <w:rsid w:val="00247508"/>
    <w:rsid w:val="00247A16"/>
    <w:rsid w:val="0025087E"/>
    <w:rsid w:val="00251FDB"/>
    <w:rsid w:val="002536B1"/>
    <w:rsid w:val="00253996"/>
    <w:rsid w:val="00254EDE"/>
    <w:rsid w:val="0025524A"/>
    <w:rsid w:val="00255A6A"/>
    <w:rsid w:val="00256764"/>
    <w:rsid w:val="0025799B"/>
    <w:rsid w:val="002613F5"/>
    <w:rsid w:val="0026155C"/>
    <w:rsid w:val="002632CD"/>
    <w:rsid w:val="0026385E"/>
    <w:rsid w:val="0026457D"/>
    <w:rsid w:val="0026518C"/>
    <w:rsid w:val="00265EA0"/>
    <w:rsid w:val="00267DBC"/>
    <w:rsid w:val="00270D59"/>
    <w:rsid w:val="00273804"/>
    <w:rsid w:val="00273D05"/>
    <w:rsid w:val="002742F2"/>
    <w:rsid w:val="002751B6"/>
    <w:rsid w:val="00275610"/>
    <w:rsid w:val="00275F8D"/>
    <w:rsid w:val="00277051"/>
    <w:rsid w:val="0027706D"/>
    <w:rsid w:val="00277858"/>
    <w:rsid w:val="002800C3"/>
    <w:rsid w:val="00280952"/>
    <w:rsid w:val="00281449"/>
    <w:rsid w:val="00282643"/>
    <w:rsid w:val="00283356"/>
    <w:rsid w:val="002848AF"/>
    <w:rsid w:val="00284D17"/>
    <w:rsid w:val="00285192"/>
    <w:rsid w:val="00287C6E"/>
    <w:rsid w:val="002901AE"/>
    <w:rsid w:val="00294AE8"/>
    <w:rsid w:val="002965F4"/>
    <w:rsid w:val="00297A2C"/>
    <w:rsid w:val="002A03CD"/>
    <w:rsid w:val="002A0868"/>
    <w:rsid w:val="002A362E"/>
    <w:rsid w:val="002A382E"/>
    <w:rsid w:val="002A404D"/>
    <w:rsid w:val="002A4648"/>
    <w:rsid w:val="002A5223"/>
    <w:rsid w:val="002A78FA"/>
    <w:rsid w:val="002B1BB1"/>
    <w:rsid w:val="002B2002"/>
    <w:rsid w:val="002B27B6"/>
    <w:rsid w:val="002B3EC3"/>
    <w:rsid w:val="002B4146"/>
    <w:rsid w:val="002B43CF"/>
    <w:rsid w:val="002B43D3"/>
    <w:rsid w:val="002B4D8B"/>
    <w:rsid w:val="002C2299"/>
    <w:rsid w:val="002C3888"/>
    <w:rsid w:val="002C53FA"/>
    <w:rsid w:val="002C5FE8"/>
    <w:rsid w:val="002C6B8F"/>
    <w:rsid w:val="002D0384"/>
    <w:rsid w:val="002D1808"/>
    <w:rsid w:val="002D2183"/>
    <w:rsid w:val="002D2359"/>
    <w:rsid w:val="002D25B5"/>
    <w:rsid w:val="002D3F0A"/>
    <w:rsid w:val="002D70EE"/>
    <w:rsid w:val="002E02CF"/>
    <w:rsid w:val="002E14DF"/>
    <w:rsid w:val="002E1E0B"/>
    <w:rsid w:val="002E1E54"/>
    <w:rsid w:val="002E2449"/>
    <w:rsid w:val="002E39B3"/>
    <w:rsid w:val="002E470A"/>
    <w:rsid w:val="002E5AC1"/>
    <w:rsid w:val="002E722D"/>
    <w:rsid w:val="002E76DA"/>
    <w:rsid w:val="002F0243"/>
    <w:rsid w:val="002F094F"/>
    <w:rsid w:val="002F0C4F"/>
    <w:rsid w:val="002F0F69"/>
    <w:rsid w:val="002F1341"/>
    <w:rsid w:val="002F164F"/>
    <w:rsid w:val="002F1654"/>
    <w:rsid w:val="002F1A3B"/>
    <w:rsid w:val="002F21FA"/>
    <w:rsid w:val="002F34B7"/>
    <w:rsid w:val="002F4B30"/>
    <w:rsid w:val="002F4CB8"/>
    <w:rsid w:val="00303A56"/>
    <w:rsid w:val="003043C6"/>
    <w:rsid w:val="003049F5"/>
    <w:rsid w:val="003060E0"/>
    <w:rsid w:val="003067B3"/>
    <w:rsid w:val="0030680C"/>
    <w:rsid w:val="00306D06"/>
    <w:rsid w:val="00306F1E"/>
    <w:rsid w:val="003101AD"/>
    <w:rsid w:val="00311593"/>
    <w:rsid w:val="003142F0"/>
    <w:rsid w:val="003153FA"/>
    <w:rsid w:val="00317D7B"/>
    <w:rsid w:val="0032191B"/>
    <w:rsid w:val="003252C1"/>
    <w:rsid w:val="00325F1F"/>
    <w:rsid w:val="003313D6"/>
    <w:rsid w:val="00333B9B"/>
    <w:rsid w:val="00334611"/>
    <w:rsid w:val="003352AA"/>
    <w:rsid w:val="003356C9"/>
    <w:rsid w:val="00336204"/>
    <w:rsid w:val="003363EF"/>
    <w:rsid w:val="003371CC"/>
    <w:rsid w:val="00337438"/>
    <w:rsid w:val="00337F2E"/>
    <w:rsid w:val="00341E0A"/>
    <w:rsid w:val="00342A17"/>
    <w:rsid w:val="00343145"/>
    <w:rsid w:val="00343623"/>
    <w:rsid w:val="003464CA"/>
    <w:rsid w:val="003476FF"/>
    <w:rsid w:val="00347737"/>
    <w:rsid w:val="003478E4"/>
    <w:rsid w:val="00347EB3"/>
    <w:rsid w:val="0035103A"/>
    <w:rsid w:val="00351203"/>
    <w:rsid w:val="0035311E"/>
    <w:rsid w:val="0035313D"/>
    <w:rsid w:val="003543C9"/>
    <w:rsid w:val="00354E5C"/>
    <w:rsid w:val="00357284"/>
    <w:rsid w:val="0036011E"/>
    <w:rsid w:val="003614BA"/>
    <w:rsid w:val="003614CD"/>
    <w:rsid w:val="00366496"/>
    <w:rsid w:val="003702BA"/>
    <w:rsid w:val="0037033D"/>
    <w:rsid w:val="00371DFB"/>
    <w:rsid w:val="00371E07"/>
    <w:rsid w:val="00372574"/>
    <w:rsid w:val="00373269"/>
    <w:rsid w:val="00373364"/>
    <w:rsid w:val="0037352A"/>
    <w:rsid w:val="00374165"/>
    <w:rsid w:val="003768C5"/>
    <w:rsid w:val="0038040D"/>
    <w:rsid w:val="0038049A"/>
    <w:rsid w:val="00380AEA"/>
    <w:rsid w:val="0038182C"/>
    <w:rsid w:val="00382F04"/>
    <w:rsid w:val="00383709"/>
    <w:rsid w:val="003846A2"/>
    <w:rsid w:val="00385759"/>
    <w:rsid w:val="003859C8"/>
    <w:rsid w:val="00386671"/>
    <w:rsid w:val="00391599"/>
    <w:rsid w:val="00391895"/>
    <w:rsid w:val="00394DE9"/>
    <w:rsid w:val="00395B38"/>
    <w:rsid w:val="0039660A"/>
    <w:rsid w:val="00396EAE"/>
    <w:rsid w:val="00397ACC"/>
    <w:rsid w:val="003A0600"/>
    <w:rsid w:val="003A187D"/>
    <w:rsid w:val="003A2826"/>
    <w:rsid w:val="003A3120"/>
    <w:rsid w:val="003A575C"/>
    <w:rsid w:val="003B08ED"/>
    <w:rsid w:val="003B404B"/>
    <w:rsid w:val="003B480A"/>
    <w:rsid w:val="003B4B7A"/>
    <w:rsid w:val="003B4C55"/>
    <w:rsid w:val="003B5BE7"/>
    <w:rsid w:val="003B624E"/>
    <w:rsid w:val="003B6840"/>
    <w:rsid w:val="003C1314"/>
    <w:rsid w:val="003C24B8"/>
    <w:rsid w:val="003C2799"/>
    <w:rsid w:val="003C27AC"/>
    <w:rsid w:val="003C3909"/>
    <w:rsid w:val="003C3FE3"/>
    <w:rsid w:val="003C6615"/>
    <w:rsid w:val="003C6A8F"/>
    <w:rsid w:val="003C7314"/>
    <w:rsid w:val="003C7597"/>
    <w:rsid w:val="003C77DD"/>
    <w:rsid w:val="003C781B"/>
    <w:rsid w:val="003C7E82"/>
    <w:rsid w:val="003D14DF"/>
    <w:rsid w:val="003D26D2"/>
    <w:rsid w:val="003D4A29"/>
    <w:rsid w:val="003D570D"/>
    <w:rsid w:val="003D6338"/>
    <w:rsid w:val="003D655E"/>
    <w:rsid w:val="003D6FA0"/>
    <w:rsid w:val="003D7AE8"/>
    <w:rsid w:val="003E1842"/>
    <w:rsid w:val="003E252C"/>
    <w:rsid w:val="003E38C8"/>
    <w:rsid w:val="003E3F88"/>
    <w:rsid w:val="003E448E"/>
    <w:rsid w:val="003E5909"/>
    <w:rsid w:val="003E7EFA"/>
    <w:rsid w:val="003F3D72"/>
    <w:rsid w:val="003F6498"/>
    <w:rsid w:val="004073B4"/>
    <w:rsid w:val="004078AC"/>
    <w:rsid w:val="00407D14"/>
    <w:rsid w:val="00407EE4"/>
    <w:rsid w:val="00410369"/>
    <w:rsid w:val="0041069C"/>
    <w:rsid w:val="0041101D"/>
    <w:rsid w:val="00411A92"/>
    <w:rsid w:val="00411B7B"/>
    <w:rsid w:val="004121F3"/>
    <w:rsid w:val="00412639"/>
    <w:rsid w:val="004128C4"/>
    <w:rsid w:val="00413781"/>
    <w:rsid w:val="00413BFE"/>
    <w:rsid w:val="00413DE1"/>
    <w:rsid w:val="00414134"/>
    <w:rsid w:val="00415C93"/>
    <w:rsid w:val="004173F1"/>
    <w:rsid w:val="00417DE1"/>
    <w:rsid w:val="004200BC"/>
    <w:rsid w:val="00422313"/>
    <w:rsid w:val="00425B81"/>
    <w:rsid w:val="004261A4"/>
    <w:rsid w:val="00426280"/>
    <w:rsid w:val="0042648C"/>
    <w:rsid w:val="004279B4"/>
    <w:rsid w:val="00427AC1"/>
    <w:rsid w:val="00430682"/>
    <w:rsid w:val="00430AC2"/>
    <w:rsid w:val="00431883"/>
    <w:rsid w:val="004337BF"/>
    <w:rsid w:val="00433829"/>
    <w:rsid w:val="0043448C"/>
    <w:rsid w:val="00435C7F"/>
    <w:rsid w:val="00437C85"/>
    <w:rsid w:val="0044151C"/>
    <w:rsid w:val="00443752"/>
    <w:rsid w:val="00444E6B"/>
    <w:rsid w:val="0044528E"/>
    <w:rsid w:val="00446E21"/>
    <w:rsid w:val="00447A1B"/>
    <w:rsid w:val="00447BF3"/>
    <w:rsid w:val="00447E83"/>
    <w:rsid w:val="0045010F"/>
    <w:rsid w:val="00450AA3"/>
    <w:rsid w:val="00451FEF"/>
    <w:rsid w:val="004537CC"/>
    <w:rsid w:val="004541EC"/>
    <w:rsid w:val="0045601E"/>
    <w:rsid w:val="00457A2C"/>
    <w:rsid w:val="00460218"/>
    <w:rsid w:val="00462782"/>
    <w:rsid w:val="0046298D"/>
    <w:rsid w:val="00463D72"/>
    <w:rsid w:val="00465050"/>
    <w:rsid w:val="004656B4"/>
    <w:rsid w:val="004657DB"/>
    <w:rsid w:val="0046596C"/>
    <w:rsid w:val="004668E1"/>
    <w:rsid w:val="0046799B"/>
    <w:rsid w:val="004719A8"/>
    <w:rsid w:val="00471B5C"/>
    <w:rsid w:val="00472171"/>
    <w:rsid w:val="00472CF0"/>
    <w:rsid w:val="00472D1B"/>
    <w:rsid w:val="00475A03"/>
    <w:rsid w:val="004768B5"/>
    <w:rsid w:val="004777C5"/>
    <w:rsid w:val="004802D7"/>
    <w:rsid w:val="00480636"/>
    <w:rsid w:val="0048118B"/>
    <w:rsid w:val="0048227D"/>
    <w:rsid w:val="00483146"/>
    <w:rsid w:val="004833D2"/>
    <w:rsid w:val="00483A54"/>
    <w:rsid w:val="00485DF2"/>
    <w:rsid w:val="00486180"/>
    <w:rsid w:val="00487A15"/>
    <w:rsid w:val="004910B3"/>
    <w:rsid w:val="00494268"/>
    <w:rsid w:val="004949B5"/>
    <w:rsid w:val="00495A60"/>
    <w:rsid w:val="004976DE"/>
    <w:rsid w:val="004A0151"/>
    <w:rsid w:val="004A1590"/>
    <w:rsid w:val="004A195B"/>
    <w:rsid w:val="004A2CAC"/>
    <w:rsid w:val="004A2F8C"/>
    <w:rsid w:val="004A3558"/>
    <w:rsid w:val="004A3687"/>
    <w:rsid w:val="004A4C9E"/>
    <w:rsid w:val="004A4DD4"/>
    <w:rsid w:val="004A4F8D"/>
    <w:rsid w:val="004A5190"/>
    <w:rsid w:val="004A704A"/>
    <w:rsid w:val="004B0B9C"/>
    <w:rsid w:val="004B266A"/>
    <w:rsid w:val="004B27D1"/>
    <w:rsid w:val="004B391B"/>
    <w:rsid w:val="004B534B"/>
    <w:rsid w:val="004B5F4D"/>
    <w:rsid w:val="004C0C6C"/>
    <w:rsid w:val="004C1A2F"/>
    <w:rsid w:val="004C26B6"/>
    <w:rsid w:val="004C3AFF"/>
    <w:rsid w:val="004C443F"/>
    <w:rsid w:val="004C68A7"/>
    <w:rsid w:val="004C6DDB"/>
    <w:rsid w:val="004C72D8"/>
    <w:rsid w:val="004C7566"/>
    <w:rsid w:val="004C7E44"/>
    <w:rsid w:val="004D05D7"/>
    <w:rsid w:val="004D0E4A"/>
    <w:rsid w:val="004D300D"/>
    <w:rsid w:val="004D33B5"/>
    <w:rsid w:val="004D46B0"/>
    <w:rsid w:val="004D753B"/>
    <w:rsid w:val="004E053D"/>
    <w:rsid w:val="004E0DD8"/>
    <w:rsid w:val="004E3BAE"/>
    <w:rsid w:val="004E4EC2"/>
    <w:rsid w:val="004E690B"/>
    <w:rsid w:val="004E70F8"/>
    <w:rsid w:val="004F01B2"/>
    <w:rsid w:val="004F09C1"/>
    <w:rsid w:val="004F1890"/>
    <w:rsid w:val="004F23B2"/>
    <w:rsid w:val="004F34A0"/>
    <w:rsid w:val="004F4CD0"/>
    <w:rsid w:val="004F7A19"/>
    <w:rsid w:val="00500B34"/>
    <w:rsid w:val="005018B4"/>
    <w:rsid w:val="00501E64"/>
    <w:rsid w:val="005025A2"/>
    <w:rsid w:val="00502673"/>
    <w:rsid w:val="005043A5"/>
    <w:rsid w:val="005048CE"/>
    <w:rsid w:val="00504A62"/>
    <w:rsid w:val="00506064"/>
    <w:rsid w:val="00506A70"/>
    <w:rsid w:val="00507320"/>
    <w:rsid w:val="00507E41"/>
    <w:rsid w:val="00510193"/>
    <w:rsid w:val="00510A39"/>
    <w:rsid w:val="00511917"/>
    <w:rsid w:val="00511DA7"/>
    <w:rsid w:val="0051275D"/>
    <w:rsid w:val="00512E50"/>
    <w:rsid w:val="005145B2"/>
    <w:rsid w:val="005147E6"/>
    <w:rsid w:val="005163BF"/>
    <w:rsid w:val="00516E41"/>
    <w:rsid w:val="00520D2F"/>
    <w:rsid w:val="00521B97"/>
    <w:rsid w:val="00521F26"/>
    <w:rsid w:val="00522001"/>
    <w:rsid w:val="00522232"/>
    <w:rsid w:val="00523CC6"/>
    <w:rsid w:val="005268DC"/>
    <w:rsid w:val="00527DC8"/>
    <w:rsid w:val="00531A15"/>
    <w:rsid w:val="00532B36"/>
    <w:rsid w:val="00533DCB"/>
    <w:rsid w:val="005345ED"/>
    <w:rsid w:val="005366D0"/>
    <w:rsid w:val="005374AE"/>
    <w:rsid w:val="00537DD8"/>
    <w:rsid w:val="005404CC"/>
    <w:rsid w:val="00540FA7"/>
    <w:rsid w:val="005449DD"/>
    <w:rsid w:val="0054543E"/>
    <w:rsid w:val="0055022E"/>
    <w:rsid w:val="0055135B"/>
    <w:rsid w:val="005514CE"/>
    <w:rsid w:val="00551CF4"/>
    <w:rsid w:val="00552C39"/>
    <w:rsid w:val="00553BE1"/>
    <w:rsid w:val="0055573E"/>
    <w:rsid w:val="00555D28"/>
    <w:rsid w:val="00556B14"/>
    <w:rsid w:val="00561F5C"/>
    <w:rsid w:val="0056220B"/>
    <w:rsid w:val="005633B5"/>
    <w:rsid w:val="00563FA4"/>
    <w:rsid w:val="00564C91"/>
    <w:rsid w:val="0056718F"/>
    <w:rsid w:val="00572461"/>
    <w:rsid w:val="00575A2F"/>
    <w:rsid w:val="0057610B"/>
    <w:rsid w:val="00580397"/>
    <w:rsid w:val="005804DF"/>
    <w:rsid w:val="00582C14"/>
    <w:rsid w:val="00583A54"/>
    <w:rsid w:val="00584934"/>
    <w:rsid w:val="005867FC"/>
    <w:rsid w:val="00587722"/>
    <w:rsid w:val="00587AE8"/>
    <w:rsid w:val="00587FE2"/>
    <w:rsid w:val="00590DB2"/>
    <w:rsid w:val="00591EEB"/>
    <w:rsid w:val="00593DC9"/>
    <w:rsid w:val="005954C9"/>
    <w:rsid w:val="00595C47"/>
    <w:rsid w:val="00595FFE"/>
    <w:rsid w:val="005966ED"/>
    <w:rsid w:val="005968A8"/>
    <w:rsid w:val="00596CFB"/>
    <w:rsid w:val="005A1F14"/>
    <w:rsid w:val="005A2FE8"/>
    <w:rsid w:val="005A6084"/>
    <w:rsid w:val="005A612F"/>
    <w:rsid w:val="005A69D6"/>
    <w:rsid w:val="005A6ACB"/>
    <w:rsid w:val="005B0001"/>
    <w:rsid w:val="005B4A62"/>
    <w:rsid w:val="005B4D04"/>
    <w:rsid w:val="005B5031"/>
    <w:rsid w:val="005B5BAC"/>
    <w:rsid w:val="005B5F13"/>
    <w:rsid w:val="005B5FA5"/>
    <w:rsid w:val="005B7DE4"/>
    <w:rsid w:val="005C1794"/>
    <w:rsid w:val="005C2B54"/>
    <w:rsid w:val="005C305F"/>
    <w:rsid w:val="005C31FB"/>
    <w:rsid w:val="005C7475"/>
    <w:rsid w:val="005C7B3C"/>
    <w:rsid w:val="005D0C70"/>
    <w:rsid w:val="005D3E8E"/>
    <w:rsid w:val="005D5117"/>
    <w:rsid w:val="005D60D4"/>
    <w:rsid w:val="005D64ED"/>
    <w:rsid w:val="005D7D56"/>
    <w:rsid w:val="005E0511"/>
    <w:rsid w:val="005E2184"/>
    <w:rsid w:val="005E2FED"/>
    <w:rsid w:val="005E30D3"/>
    <w:rsid w:val="005E326C"/>
    <w:rsid w:val="005E3CA5"/>
    <w:rsid w:val="005E78AE"/>
    <w:rsid w:val="005F316C"/>
    <w:rsid w:val="005F37DA"/>
    <w:rsid w:val="005F3C59"/>
    <w:rsid w:val="005F53C7"/>
    <w:rsid w:val="005F5E58"/>
    <w:rsid w:val="005F728A"/>
    <w:rsid w:val="005F7467"/>
    <w:rsid w:val="00602805"/>
    <w:rsid w:val="0060321C"/>
    <w:rsid w:val="0060428A"/>
    <w:rsid w:val="006049D4"/>
    <w:rsid w:val="0060504C"/>
    <w:rsid w:val="006059E9"/>
    <w:rsid w:val="00606188"/>
    <w:rsid w:val="00606781"/>
    <w:rsid w:val="00607C4A"/>
    <w:rsid w:val="00610295"/>
    <w:rsid w:val="00612EFF"/>
    <w:rsid w:val="00614F6A"/>
    <w:rsid w:val="00616E2E"/>
    <w:rsid w:val="00617410"/>
    <w:rsid w:val="00617AE6"/>
    <w:rsid w:val="00617FB1"/>
    <w:rsid w:val="0062005A"/>
    <w:rsid w:val="00621B50"/>
    <w:rsid w:val="00622023"/>
    <w:rsid w:val="006231DE"/>
    <w:rsid w:val="006234DB"/>
    <w:rsid w:val="00623FC0"/>
    <w:rsid w:val="00624CE1"/>
    <w:rsid w:val="006252DF"/>
    <w:rsid w:val="00626E94"/>
    <w:rsid w:val="00626FD1"/>
    <w:rsid w:val="00627652"/>
    <w:rsid w:val="00630B01"/>
    <w:rsid w:val="00632349"/>
    <w:rsid w:val="006323D0"/>
    <w:rsid w:val="006328C4"/>
    <w:rsid w:val="0063329A"/>
    <w:rsid w:val="0063491B"/>
    <w:rsid w:val="0063512B"/>
    <w:rsid w:val="00636625"/>
    <w:rsid w:val="00636722"/>
    <w:rsid w:val="00636E34"/>
    <w:rsid w:val="00637321"/>
    <w:rsid w:val="00637499"/>
    <w:rsid w:val="00641744"/>
    <w:rsid w:val="00641A3D"/>
    <w:rsid w:val="0064285D"/>
    <w:rsid w:val="00642BBC"/>
    <w:rsid w:val="006446AF"/>
    <w:rsid w:val="00645453"/>
    <w:rsid w:val="00645F9F"/>
    <w:rsid w:val="00651268"/>
    <w:rsid w:val="00652992"/>
    <w:rsid w:val="00652D41"/>
    <w:rsid w:val="0065411A"/>
    <w:rsid w:val="0065430F"/>
    <w:rsid w:val="006547DB"/>
    <w:rsid w:val="0065552F"/>
    <w:rsid w:val="00660B76"/>
    <w:rsid w:val="00660ED6"/>
    <w:rsid w:val="00661DDB"/>
    <w:rsid w:val="006636B7"/>
    <w:rsid w:val="006640DE"/>
    <w:rsid w:val="006644E6"/>
    <w:rsid w:val="00664C14"/>
    <w:rsid w:val="00666005"/>
    <w:rsid w:val="0066745D"/>
    <w:rsid w:val="00667785"/>
    <w:rsid w:val="0066782A"/>
    <w:rsid w:val="00667F1A"/>
    <w:rsid w:val="00670251"/>
    <w:rsid w:val="00670969"/>
    <w:rsid w:val="00671084"/>
    <w:rsid w:val="00671EC1"/>
    <w:rsid w:val="00672FF8"/>
    <w:rsid w:val="00673E85"/>
    <w:rsid w:val="00674901"/>
    <w:rsid w:val="00675988"/>
    <w:rsid w:val="00675C1A"/>
    <w:rsid w:val="00677CA8"/>
    <w:rsid w:val="006805F5"/>
    <w:rsid w:val="006816DC"/>
    <w:rsid w:val="006840EF"/>
    <w:rsid w:val="00684588"/>
    <w:rsid w:val="00690025"/>
    <w:rsid w:val="006912F5"/>
    <w:rsid w:val="0069173E"/>
    <w:rsid w:val="00691910"/>
    <w:rsid w:val="006946C2"/>
    <w:rsid w:val="0069698D"/>
    <w:rsid w:val="00697575"/>
    <w:rsid w:val="006A1E2D"/>
    <w:rsid w:val="006A64DF"/>
    <w:rsid w:val="006A729F"/>
    <w:rsid w:val="006A7DEF"/>
    <w:rsid w:val="006B13DE"/>
    <w:rsid w:val="006B2741"/>
    <w:rsid w:val="006B2FFD"/>
    <w:rsid w:val="006B3E48"/>
    <w:rsid w:val="006B4A51"/>
    <w:rsid w:val="006B4C75"/>
    <w:rsid w:val="006B6D27"/>
    <w:rsid w:val="006B72F8"/>
    <w:rsid w:val="006B7579"/>
    <w:rsid w:val="006C0319"/>
    <w:rsid w:val="006C07FB"/>
    <w:rsid w:val="006C08AD"/>
    <w:rsid w:val="006C09C4"/>
    <w:rsid w:val="006C2044"/>
    <w:rsid w:val="006C2A90"/>
    <w:rsid w:val="006C2E10"/>
    <w:rsid w:val="006C3AA5"/>
    <w:rsid w:val="006C4F60"/>
    <w:rsid w:val="006C5AC7"/>
    <w:rsid w:val="006C5F46"/>
    <w:rsid w:val="006C626C"/>
    <w:rsid w:val="006C6775"/>
    <w:rsid w:val="006D1586"/>
    <w:rsid w:val="006D3597"/>
    <w:rsid w:val="006D3947"/>
    <w:rsid w:val="006D4E8F"/>
    <w:rsid w:val="006D5A84"/>
    <w:rsid w:val="006D5E8C"/>
    <w:rsid w:val="006D71BB"/>
    <w:rsid w:val="006D72DC"/>
    <w:rsid w:val="006D7DF0"/>
    <w:rsid w:val="006E05D3"/>
    <w:rsid w:val="006E39A5"/>
    <w:rsid w:val="006E3D41"/>
    <w:rsid w:val="006E3D80"/>
    <w:rsid w:val="006E445C"/>
    <w:rsid w:val="006E55BD"/>
    <w:rsid w:val="006E5E6D"/>
    <w:rsid w:val="006E70E6"/>
    <w:rsid w:val="006E7745"/>
    <w:rsid w:val="006E7B4A"/>
    <w:rsid w:val="006F0044"/>
    <w:rsid w:val="006F2D3C"/>
    <w:rsid w:val="006F35BE"/>
    <w:rsid w:val="006F394B"/>
    <w:rsid w:val="006F54FE"/>
    <w:rsid w:val="006F5D61"/>
    <w:rsid w:val="006F6374"/>
    <w:rsid w:val="006F639B"/>
    <w:rsid w:val="006F7E99"/>
    <w:rsid w:val="00700D24"/>
    <w:rsid w:val="00701605"/>
    <w:rsid w:val="00703CC8"/>
    <w:rsid w:val="0070437A"/>
    <w:rsid w:val="00705F75"/>
    <w:rsid w:val="007063E3"/>
    <w:rsid w:val="0070752E"/>
    <w:rsid w:val="00710D50"/>
    <w:rsid w:val="00711534"/>
    <w:rsid w:val="00711613"/>
    <w:rsid w:val="00711933"/>
    <w:rsid w:val="00712B47"/>
    <w:rsid w:val="007133DE"/>
    <w:rsid w:val="007138D8"/>
    <w:rsid w:val="00713A55"/>
    <w:rsid w:val="007143A3"/>
    <w:rsid w:val="007149DC"/>
    <w:rsid w:val="00715F33"/>
    <w:rsid w:val="00717C5C"/>
    <w:rsid w:val="00720319"/>
    <w:rsid w:val="007209D4"/>
    <w:rsid w:val="00720A53"/>
    <w:rsid w:val="00721E7E"/>
    <w:rsid w:val="0072333F"/>
    <w:rsid w:val="0072334C"/>
    <w:rsid w:val="00723604"/>
    <w:rsid w:val="007236DC"/>
    <w:rsid w:val="007240C2"/>
    <w:rsid w:val="00725D27"/>
    <w:rsid w:val="00725D46"/>
    <w:rsid w:val="00726629"/>
    <w:rsid w:val="00727244"/>
    <w:rsid w:val="007301F9"/>
    <w:rsid w:val="00730662"/>
    <w:rsid w:val="00730E67"/>
    <w:rsid w:val="007313AA"/>
    <w:rsid w:val="00733990"/>
    <w:rsid w:val="0073440D"/>
    <w:rsid w:val="00734BC1"/>
    <w:rsid w:val="00734FC3"/>
    <w:rsid w:val="00735BDC"/>
    <w:rsid w:val="00735F74"/>
    <w:rsid w:val="00740DD2"/>
    <w:rsid w:val="0074113D"/>
    <w:rsid w:val="00741B6D"/>
    <w:rsid w:val="0074293F"/>
    <w:rsid w:val="007437E8"/>
    <w:rsid w:val="00743B0C"/>
    <w:rsid w:val="00744AC3"/>
    <w:rsid w:val="00744AE1"/>
    <w:rsid w:val="00745904"/>
    <w:rsid w:val="00745BBF"/>
    <w:rsid w:val="007477C1"/>
    <w:rsid w:val="00750203"/>
    <w:rsid w:val="0075026A"/>
    <w:rsid w:val="007509E3"/>
    <w:rsid w:val="00750DF3"/>
    <w:rsid w:val="00751188"/>
    <w:rsid w:val="007524BE"/>
    <w:rsid w:val="007537A1"/>
    <w:rsid w:val="007610A8"/>
    <w:rsid w:val="00761B70"/>
    <w:rsid w:val="007622E6"/>
    <w:rsid w:val="007624C7"/>
    <w:rsid w:val="00764054"/>
    <w:rsid w:val="00764A8E"/>
    <w:rsid w:val="00766024"/>
    <w:rsid w:val="00766895"/>
    <w:rsid w:val="00767063"/>
    <w:rsid w:val="00770075"/>
    <w:rsid w:val="00771457"/>
    <w:rsid w:val="00771CC4"/>
    <w:rsid w:val="00773898"/>
    <w:rsid w:val="00773D97"/>
    <w:rsid w:val="00774981"/>
    <w:rsid w:val="00774F38"/>
    <w:rsid w:val="00776542"/>
    <w:rsid w:val="00776B00"/>
    <w:rsid w:val="00780F03"/>
    <w:rsid w:val="007811C6"/>
    <w:rsid w:val="007829FC"/>
    <w:rsid w:val="00787FE7"/>
    <w:rsid w:val="007903A5"/>
    <w:rsid w:val="00790F51"/>
    <w:rsid w:val="0079215A"/>
    <w:rsid w:val="00792DBC"/>
    <w:rsid w:val="00794776"/>
    <w:rsid w:val="00794DB0"/>
    <w:rsid w:val="0079533F"/>
    <w:rsid w:val="007953A8"/>
    <w:rsid w:val="007954B4"/>
    <w:rsid w:val="00795A65"/>
    <w:rsid w:val="007A3435"/>
    <w:rsid w:val="007A36F9"/>
    <w:rsid w:val="007A5AFB"/>
    <w:rsid w:val="007A65D1"/>
    <w:rsid w:val="007A7488"/>
    <w:rsid w:val="007B0F26"/>
    <w:rsid w:val="007B1BCE"/>
    <w:rsid w:val="007B25D8"/>
    <w:rsid w:val="007B2671"/>
    <w:rsid w:val="007B2C15"/>
    <w:rsid w:val="007B35EF"/>
    <w:rsid w:val="007B3C26"/>
    <w:rsid w:val="007B3CE1"/>
    <w:rsid w:val="007B4A79"/>
    <w:rsid w:val="007B5D90"/>
    <w:rsid w:val="007B7094"/>
    <w:rsid w:val="007C0479"/>
    <w:rsid w:val="007C1FF0"/>
    <w:rsid w:val="007C2116"/>
    <w:rsid w:val="007C288B"/>
    <w:rsid w:val="007C2BE4"/>
    <w:rsid w:val="007C52E4"/>
    <w:rsid w:val="007C5DE4"/>
    <w:rsid w:val="007C6309"/>
    <w:rsid w:val="007C68B1"/>
    <w:rsid w:val="007C6E2E"/>
    <w:rsid w:val="007C6E35"/>
    <w:rsid w:val="007C704F"/>
    <w:rsid w:val="007C716D"/>
    <w:rsid w:val="007C787D"/>
    <w:rsid w:val="007D05F7"/>
    <w:rsid w:val="007D1025"/>
    <w:rsid w:val="007D15DA"/>
    <w:rsid w:val="007D3C4A"/>
    <w:rsid w:val="007D3EAE"/>
    <w:rsid w:val="007D4C37"/>
    <w:rsid w:val="007D66F9"/>
    <w:rsid w:val="007D6D1F"/>
    <w:rsid w:val="007D7102"/>
    <w:rsid w:val="007D7FD2"/>
    <w:rsid w:val="007E1191"/>
    <w:rsid w:val="007E190C"/>
    <w:rsid w:val="007E226D"/>
    <w:rsid w:val="007E2B4E"/>
    <w:rsid w:val="007E43D4"/>
    <w:rsid w:val="007E4F0E"/>
    <w:rsid w:val="007E512E"/>
    <w:rsid w:val="007E52CC"/>
    <w:rsid w:val="007E69EA"/>
    <w:rsid w:val="007F00D7"/>
    <w:rsid w:val="007F1327"/>
    <w:rsid w:val="007F139A"/>
    <w:rsid w:val="007F4A6E"/>
    <w:rsid w:val="007F5308"/>
    <w:rsid w:val="007F5467"/>
    <w:rsid w:val="007F6719"/>
    <w:rsid w:val="007F70ED"/>
    <w:rsid w:val="007F7C26"/>
    <w:rsid w:val="008002B3"/>
    <w:rsid w:val="008013A1"/>
    <w:rsid w:val="00801638"/>
    <w:rsid w:val="008028D7"/>
    <w:rsid w:val="0080346C"/>
    <w:rsid w:val="008039FD"/>
    <w:rsid w:val="00804B09"/>
    <w:rsid w:val="008051DE"/>
    <w:rsid w:val="008057C3"/>
    <w:rsid w:val="008075AE"/>
    <w:rsid w:val="00821A30"/>
    <w:rsid w:val="0082249E"/>
    <w:rsid w:val="008224DC"/>
    <w:rsid w:val="00822568"/>
    <w:rsid w:val="00822A17"/>
    <w:rsid w:val="00823E11"/>
    <w:rsid w:val="00824593"/>
    <w:rsid w:val="008257E0"/>
    <w:rsid w:val="00830EB6"/>
    <w:rsid w:val="00831613"/>
    <w:rsid w:val="00831E79"/>
    <w:rsid w:val="00832F4B"/>
    <w:rsid w:val="00835A51"/>
    <w:rsid w:val="008369AE"/>
    <w:rsid w:val="008376F7"/>
    <w:rsid w:val="00840008"/>
    <w:rsid w:val="0084000A"/>
    <w:rsid w:val="00840324"/>
    <w:rsid w:val="00841818"/>
    <w:rsid w:val="00842D8D"/>
    <w:rsid w:val="00844A15"/>
    <w:rsid w:val="008458CD"/>
    <w:rsid w:val="00845EE9"/>
    <w:rsid w:val="008468D6"/>
    <w:rsid w:val="00847133"/>
    <w:rsid w:val="008472C5"/>
    <w:rsid w:val="0085035B"/>
    <w:rsid w:val="00850FC0"/>
    <w:rsid w:val="00853D5E"/>
    <w:rsid w:val="00854E06"/>
    <w:rsid w:val="008554A6"/>
    <w:rsid w:val="00855595"/>
    <w:rsid w:val="00855EAE"/>
    <w:rsid w:val="00856D48"/>
    <w:rsid w:val="00857A35"/>
    <w:rsid w:val="00860B00"/>
    <w:rsid w:val="00860CEA"/>
    <w:rsid w:val="008611AB"/>
    <w:rsid w:val="00863024"/>
    <w:rsid w:val="008638FC"/>
    <w:rsid w:val="0086398D"/>
    <w:rsid w:val="00863D7F"/>
    <w:rsid w:val="00864385"/>
    <w:rsid w:val="00864806"/>
    <w:rsid w:val="0086537B"/>
    <w:rsid w:val="00865FA3"/>
    <w:rsid w:val="008705CE"/>
    <w:rsid w:val="00870B63"/>
    <w:rsid w:val="00870E48"/>
    <w:rsid w:val="00871340"/>
    <w:rsid w:val="00871575"/>
    <w:rsid w:val="00872823"/>
    <w:rsid w:val="008728C3"/>
    <w:rsid w:val="0087384A"/>
    <w:rsid w:val="00875EED"/>
    <w:rsid w:val="008812A8"/>
    <w:rsid w:val="00885478"/>
    <w:rsid w:val="00887B93"/>
    <w:rsid w:val="00890298"/>
    <w:rsid w:val="0089045F"/>
    <w:rsid w:val="00890B01"/>
    <w:rsid w:val="0089107C"/>
    <w:rsid w:val="008912F9"/>
    <w:rsid w:val="00891A48"/>
    <w:rsid w:val="00894811"/>
    <w:rsid w:val="00894D62"/>
    <w:rsid w:val="0089540A"/>
    <w:rsid w:val="00896714"/>
    <w:rsid w:val="008978A5"/>
    <w:rsid w:val="00897981"/>
    <w:rsid w:val="008A1898"/>
    <w:rsid w:val="008A1C36"/>
    <w:rsid w:val="008A1FE2"/>
    <w:rsid w:val="008A2FB7"/>
    <w:rsid w:val="008A31D4"/>
    <w:rsid w:val="008A33EE"/>
    <w:rsid w:val="008A5409"/>
    <w:rsid w:val="008A54DC"/>
    <w:rsid w:val="008A7FE9"/>
    <w:rsid w:val="008B0A93"/>
    <w:rsid w:val="008B0B9B"/>
    <w:rsid w:val="008B1449"/>
    <w:rsid w:val="008B1752"/>
    <w:rsid w:val="008B4ECB"/>
    <w:rsid w:val="008B582D"/>
    <w:rsid w:val="008B5A5A"/>
    <w:rsid w:val="008B7013"/>
    <w:rsid w:val="008B776C"/>
    <w:rsid w:val="008B77A2"/>
    <w:rsid w:val="008B7993"/>
    <w:rsid w:val="008C183B"/>
    <w:rsid w:val="008C1BF2"/>
    <w:rsid w:val="008C3323"/>
    <w:rsid w:val="008C5241"/>
    <w:rsid w:val="008C6D78"/>
    <w:rsid w:val="008D036D"/>
    <w:rsid w:val="008D0A9C"/>
    <w:rsid w:val="008D1146"/>
    <w:rsid w:val="008D2B52"/>
    <w:rsid w:val="008D2D13"/>
    <w:rsid w:val="008D36D6"/>
    <w:rsid w:val="008D6500"/>
    <w:rsid w:val="008D673D"/>
    <w:rsid w:val="008D6931"/>
    <w:rsid w:val="008D6E4A"/>
    <w:rsid w:val="008D7B85"/>
    <w:rsid w:val="008D7CDC"/>
    <w:rsid w:val="008E0A70"/>
    <w:rsid w:val="008E1F3F"/>
    <w:rsid w:val="008E2562"/>
    <w:rsid w:val="008E3218"/>
    <w:rsid w:val="008E3CEA"/>
    <w:rsid w:val="008E3F4C"/>
    <w:rsid w:val="008E4B7E"/>
    <w:rsid w:val="008E59E2"/>
    <w:rsid w:val="008F01A0"/>
    <w:rsid w:val="008F1661"/>
    <w:rsid w:val="008F2482"/>
    <w:rsid w:val="008F4455"/>
    <w:rsid w:val="008F5155"/>
    <w:rsid w:val="008F7471"/>
    <w:rsid w:val="008F7CFC"/>
    <w:rsid w:val="0090059D"/>
    <w:rsid w:val="00903D20"/>
    <w:rsid w:val="00904465"/>
    <w:rsid w:val="009075B8"/>
    <w:rsid w:val="00911F90"/>
    <w:rsid w:val="0091208D"/>
    <w:rsid w:val="0091639B"/>
    <w:rsid w:val="00921938"/>
    <w:rsid w:val="00921D3E"/>
    <w:rsid w:val="009226E6"/>
    <w:rsid w:val="00923568"/>
    <w:rsid w:val="00924458"/>
    <w:rsid w:val="0092469C"/>
    <w:rsid w:val="00925131"/>
    <w:rsid w:val="00925F2B"/>
    <w:rsid w:val="009279B3"/>
    <w:rsid w:val="00930749"/>
    <w:rsid w:val="00931030"/>
    <w:rsid w:val="009310AF"/>
    <w:rsid w:val="00932226"/>
    <w:rsid w:val="00932397"/>
    <w:rsid w:val="009324A6"/>
    <w:rsid w:val="009366F0"/>
    <w:rsid w:val="00936C47"/>
    <w:rsid w:val="00941794"/>
    <w:rsid w:val="00941ABB"/>
    <w:rsid w:val="00942667"/>
    <w:rsid w:val="00942A8F"/>
    <w:rsid w:val="009432C1"/>
    <w:rsid w:val="00943C38"/>
    <w:rsid w:val="00946DAC"/>
    <w:rsid w:val="00952891"/>
    <w:rsid w:val="00952FF0"/>
    <w:rsid w:val="0095438C"/>
    <w:rsid w:val="009546D1"/>
    <w:rsid w:val="00956640"/>
    <w:rsid w:val="00957603"/>
    <w:rsid w:val="00961597"/>
    <w:rsid w:val="00962311"/>
    <w:rsid w:val="00962BEB"/>
    <w:rsid w:val="00962E96"/>
    <w:rsid w:val="00965A76"/>
    <w:rsid w:val="00965C38"/>
    <w:rsid w:val="00966C74"/>
    <w:rsid w:val="00966DDD"/>
    <w:rsid w:val="00966E06"/>
    <w:rsid w:val="00966EDF"/>
    <w:rsid w:val="00967017"/>
    <w:rsid w:val="00971516"/>
    <w:rsid w:val="00971660"/>
    <w:rsid w:val="009736FC"/>
    <w:rsid w:val="00973A0B"/>
    <w:rsid w:val="00973C63"/>
    <w:rsid w:val="00976A21"/>
    <w:rsid w:val="00983D35"/>
    <w:rsid w:val="00984B9B"/>
    <w:rsid w:val="00993B0B"/>
    <w:rsid w:val="00994C71"/>
    <w:rsid w:val="0099753F"/>
    <w:rsid w:val="009A2DEB"/>
    <w:rsid w:val="009A379A"/>
    <w:rsid w:val="009A3B2D"/>
    <w:rsid w:val="009A4900"/>
    <w:rsid w:val="009A4DCE"/>
    <w:rsid w:val="009A522C"/>
    <w:rsid w:val="009A5232"/>
    <w:rsid w:val="009A5953"/>
    <w:rsid w:val="009A7560"/>
    <w:rsid w:val="009B0E02"/>
    <w:rsid w:val="009B2C3D"/>
    <w:rsid w:val="009B2E7B"/>
    <w:rsid w:val="009B313D"/>
    <w:rsid w:val="009B3BCC"/>
    <w:rsid w:val="009B473C"/>
    <w:rsid w:val="009B4921"/>
    <w:rsid w:val="009B5101"/>
    <w:rsid w:val="009B571B"/>
    <w:rsid w:val="009C2829"/>
    <w:rsid w:val="009C2CF9"/>
    <w:rsid w:val="009C3DDC"/>
    <w:rsid w:val="009C733B"/>
    <w:rsid w:val="009C772E"/>
    <w:rsid w:val="009D1599"/>
    <w:rsid w:val="009D1927"/>
    <w:rsid w:val="009D1F29"/>
    <w:rsid w:val="009D2754"/>
    <w:rsid w:val="009D4D17"/>
    <w:rsid w:val="009D508C"/>
    <w:rsid w:val="009D605F"/>
    <w:rsid w:val="009D6DE9"/>
    <w:rsid w:val="009D7F0D"/>
    <w:rsid w:val="009E0918"/>
    <w:rsid w:val="009E12DC"/>
    <w:rsid w:val="009E27A5"/>
    <w:rsid w:val="009E3403"/>
    <w:rsid w:val="009E3BDC"/>
    <w:rsid w:val="009E4DB1"/>
    <w:rsid w:val="009E6746"/>
    <w:rsid w:val="009F1650"/>
    <w:rsid w:val="009F2096"/>
    <w:rsid w:val="009F2101"/>
    <w:rsid w:val="009F26DB"/>
    <w:rsid w:val="009F275A"/>
    <w:rsid w:val="009F421C"/>
    <w:rsid w:val="009F480D"/>
    <w:rsid w:val="009F59A5"/>
    <w:rsid w:val="009F7A08"/>
    <w:rsid w:val="009F7CDF"/>
    <w:rsid w:val="00A0013D"/>
    <w:rsid w:val="00A00684"/>
    <w:rsid w:val="00A022CB"/>
    <w:rsid w:val="00A02D4A"/>
    <w:rsid w:val="00A030DD"/>
    <w:rsid w:val="00A04829"/>
    <w:rsid w:val="00A048E0"/>
    <w:rsid w:val="00A05090"/>
    <w:rsid w:val="00A053ED"/>
    <w:rsid w:val="00A05EC5"/>
    <w:rsid w:val="00A10302"/>
    <w:rsid w:val="00A10533"/>
    <w:rsid w:val="00A110E9"/>
    <w:rsid w:val="00A134C4"/>
    <w:rsid w:val="00A13906"/>
    <w:rsid w:val="00A13C85"/>
    <w:rsid w:val="00A14377"/>
    <w:rsid w:val="00A150B9"/>
    <w:rsid w:val="00A150DE"/>
    <w:rsid w:val="00A1578C"/>
    <w:rsid w:val="00A15E0A"/>
    <w:rsid w:val="00A168BC"/>
    <w:rsid w:val="00A217ED"/>
    <w:rsid w:val="00A22038"/>
    <w:rsid w:val="00A23971"/>
    <w:rsid w:val="00A23FE7"/>
    <w:rsid w:val="00A252B2"/>
    <w:rsid w:val="00A2566D"/>
    <w:rsid w:val="00A261BA"/>
    <w:rsid w:val="00A27C35"/>
    <w:rsid w:val="00A332A9"/>
    <w:rsid w:val="00A335F3"/>
    <w:rsid w:val="00A36143"/>
    <w:rsid w:val="00A36224"/>
    <w:rsid w:val="00A372B3"/>
    <w:rsid w:val="00A37404"/>
    <w:rsid w:val="00A374AB"/>
    <w:rsid w:val="00A41B54"/>
    <w:rsid w:val="00A42426"/>
    <w:rsid w:val="00A42471"/>
    <w:rsid w:val="00A429FD"/>
    <w:rsid w:val="00A42E26"/>
    <w:rsid w:val="00A43B1C"/>
    <w:rsid w:val="00A44B1B"/>
    <w:rsid w:val="00A450F8"/>
    <w:rsid w:val="00A467AC"/>
    <w:rsid w:val="00A47AEB"/>
    <w:rsid w:val="00A5505A"/>
    <w:rsid w:val="00A552E3"/>
    <w:rsid w:val="00A554D7"/>
    <w:rsid w:val="00A563C9"/>
    <w:rsid w:val="00A565A6"/>
    <w:rsid w:val="00A56834"/>
    <w:rsid w:val="00A57259"/>
    <w:rsid w:val="00A60399"/>
    <w:rsid w:val="00A6044F"/>
    <w:rsid w:val="00A613A6"/>
    <w:rsid w:val="00A62B3D"/>
    <w:rsid w:val="00A62C0F"/>
    <w:rsid w:val="00A63B5F"/>
    <w:rsid w:val="00A63FC7"/>
    <w:rsid w:val="00A64409"/>
    <w:rsid w:val="00A64746"/>
    <w:rsid w:val="00A64B9C"/>
    <w:rsid w:val="00A662B0"/>
    <w:rsid w:val="00A66EE7"/>
    <w:rsid w:val="00A71345"/>
    <w:rsid w:val="00A73247"/>
    <w:rsid w:val="00A7565A"/>
    <w:rsid w:val="00A75ED1"/>
    <w:rsid w:val="00A767AC"/>
    <w:rsid w:val="00A767E9"/>
    <w:rsid w:val="00A7753F"/>
    <w:rsid w:val="00A813A9"/>
    <w:rsid w:val="00A8193A"/>
    <w:rsid w:val="00A81E76"/>
    <w:rsid w:val="00A833E6"/>
    <w:rsid w:val="00A839EA"/>
    <w:rsid w:val="00A84481"/>
    <w:rsid w:val="00A84AFD"/>
    <w:rsid w:val="00A85636"/>
    <w:rsid w:val="00A90354"/>
    <w:rsid w:val="00A90362"/>
    <w:rsid w:val="00A9215D"/>
    <w:rsid w:val="00A94280"/>
    <w:rsid w:val="00A94DA9"/>
    <w:rsid w:val="00A962D8"/>
    <w:rsid w:val="00A965BE"/>
    <w:rsid w:val="00A972D2"/>
    <w:rsid w:val="00A9731C"/>
    <w:rsid w:val="00A97421"/>
    <w:rsid w:val="00A97E1A"/>
    <w:rsid w:val="00AA1819"/>
    <w:rsid w:val="00AA19BE"/>
    <w:rsid w:val="00AA2B7B"/>
    <w:rsid w:val="00AA661C"/>
    <w:rsid w:val="00AA7BA5"/>
    <w:rsid w:val="00AB16D1"/>
    <w:rsid w:val="00AB2883"/>
    <w:rsid w:val="00AB3B77"/>
    <w:rsid w:val="00AB3E31"/>
    <w:rsid w:val="00AB55E8"/>
    <w:rsid w:val="00AB5D4D"/>
    <w:rsid w:val="00AB6A56"/>
    <w:rsid w:val="00AB6B1E"/>
    <w:rsid w:val="00AB7295"/>
    <w:rsid w:val="00AB7C89"/>
    <w:rsid w:val="00AC00C4"/>
    <w:rsid w:val="00AC0257"/>
    <w:rsid w:val="00AC28D0"/>
    <w:rsid w:val="00AC40BC"/>
    <w:rsid w:val="00AC4CA0"/>
    <w:rsid w:val="00AC50E8"/>
    <w:rsid w:val="00AD0458"/>
    <w:rsid w:val="00AD2390"/>
    <w:rsid w:val="00AD4127"/>
    <w:rsid w:val="00AD4404"/>
    <w:rsid w:val="00AD4487"/>
    <w:rsid w:val="00AD4793"/>
    <w:rsid w:val="00AD4FD7"/>
    <w:rsid w:val="00AD592A"/>
    <w:rsid w:val="00AD7017"/>
    <w:rsid w:val="00AE012A"/>
    <w:rsid w:val="00AE0F22"/>
    <w:rsid w:val="00AE25B1"/>
    <w:rsid w:val="00AE2D5C"/>
    <w:rsid w:val="00AE2F6B"/>
    <w:rsid w:val="00AE3DF5"/>
    <w:rsid w:val="00AE5022"/>
    <w:rsid w:val="00AE62E9"/>
    <w:rsid w:val="00AE6A6E"/>
    <w:rsid w:val="00AE6D86"/>
    <w:rsid w:val="00AE77AD"/>
    <w:rsid w:val="00AE790D"/>
    <w:rsid w:val="00AF0F32"/>
    <w:rsid w:val="00AF3653"/>
    <w:rsid w:val="00AF4FDB"/>
    <w:rsid w:val="00AF64D2"/>
    <w:rsid w:val="00AF6B7E"/>
    <w:rsid w:val="00AF7317"/>
    <w:rsid w:val="00B002ED"/>
    <w:rsid w:val="00B01B38"/>
    <w:rsid w:val="00B0319A"/>
    <w:rsid w:val="00B05F70"/>
    <w:rsid w:val="00B05FD6"/>
    <w:rsid w:val="00B06123"/>
    <w:rsid w:val="00B068EB"/>
    <w:rsid w:val="00B06998"/>
    <w:rsid w:val="00B06B96"/>
    <w:rsid w:val="00B10B23"/>
    <w:rsid w:val="00B10D86"/>
    <w:rsid w:val="00B10EB8"/>
    <w:rsid w:val="00B112B0"/>
    <w:rsid w:val="00B11314"/>
    <w:rsid w:val="00B11972"/>
    <w:rsid w:val="00B143B1"/>
    <w:rsid w:val="00B14BD4"/>
    <w:rsid w:val="00B1799C"/>
    <w:rsid w:val="00B17BCB"/>
    <w:rsid w:val="00B206E8"/>
    <w:rsid w:val="00B2177B"/>
    <w:rsid w:val="00B21A97"/>
    <w:rsid w:val="00B21E1F"/>
    <w:rsid w:val="00B2382B"/>
    <w:rsid w:val="00B23AB6"/>
    <w:rsid w:val="00B24218"/>
    <w:rsid w:val="00B24369"/>
    <w:rsid w:val="00B24612"/>
    <w:rsid w:val="00B24E5D"/>
    <w:rsid w:val="00B25351"/>
    <w:rsid w:val="00B25755"/>
    <w:rsid w:val="00B263C3"/>
    <w:rsid w:val="00B273BE"/>
    <w:rsid w:val="00B30958"/>
    <w:rsid w:val="00B30ECC"/>
    <w:rsid w:val="00B3156B"/>
    <w:rsid w:val="00B323DC"/>
    <w:rsid w:val="00B324E0"/>
    <w:rsid w:val="00B32692"/>
    <w:rsid w:val="00B32787"/>
    <w:rsid w:val="00B32AE6"/>
    <w:rsid w:val="00B33374"/>
    <w:rsid w:val="00B34256"/>
    <w:rsid w:val="00B34EAB"/>
    <w:rsid w:val="00B375CB"/>
    <w:rsid w:val="00B40731"/>
    <w:rsid w:val="00B41FB3"/>
    <w:rsid w:val="00B42906"/>
    <w:rsid w:val="00B43196"/>
    <w:rsid w:val="00B43EF0"/>
    <w:rsid w:val="00B4615C"/>
    <w:rsid w:val="00B467CE"/>
    <w:rsid w:val="00B5056C"/>
    <w:rsid w:val="00B51578"/>
    <w:rsid w:val="00B517BB"/>
    <w:rsid w:val="00B519C2"/>
    <w:rsid w:val="00B52C13"/>
    <w:rsid w:val="00B541CE"/>
    <w:rsid w:val="00B5462D"/>
    <w:rsid w:val="00B5679A"/>
    <w:rsid w:val="00B57F24"/>
    <w:rsid w:val="00B62954"/>
    <w:rsid w:val="00B651BF"/>
    <w:rsid w:val="00B65B94"/>
    <w:rsid w:val="00B6651E"/>
    <w:rsid w:val="00B67DF2"/>
    <w:rsid w:val="00B70099"/>
    <w:rsid w:val="00B715E2"/>
    <w:rsid w:val="00B720D3"/>
    <w:rsid w:val="00B728D6"/>
    <w:rsid w:val="00B73DFE"/>
    <w:rsid w:val="00B74B60"/>
    <w:rsid w:val="00B74FE1"/>
    <w:rsid w:val="00B753A0"/>
    <w:rsid w:val="00B77BFF"/>
    <w:rsid w:val="00B81F80"/>
    <w:rsid w:val="00B82E03"/>
    <w:rsid w:val="00B835A4"/>
    <w:rsid w:val="00B8423C"/>
    <w:rsid w:val="00B847C2"/>
    <w:rsid w:val="00B86703"/>
    <w:rsid w:val="00B90C91"/>
    <w:rsid w:val="00B91306"/>
    <w:rsid w:val="00B9374A"/>
    <w:rsid w:val="00B93AFA"/>
    <w:rsid w:val="00B94D7B"/>
    <w:rsid w:val="00B9637C"/>
    <w:rsid w:val="00B96BA2"/>
    <w:rsid w:val="00BA0585"/>
    <w:rsid w:val="00BA1149"/>
    <w:rsid w:val="00BA3176"/>
    <w:rsid w:val="00BA41FB"/>
    <w:rsid w:val="00BA5693"/>
    <w:rsid w:val="00BA5FAD"/>
    <w:rsid w:val="00BA6275"/>
    <w:rsid w:val="00BA6C46"/>
    <w:rsid w:val="00BA71F3"/>
    <w:rsid w:val="00BA7898"/>
    <w:rsid w:val="00BB0526"/>
    <w:rsid w:val="00BB0973"/>
    <w:rsid w:val="00BB4497"/>
    <w:rsid w:val="00BB4B75"/>
    <w:rsid w:val="00BB6CF4"/>
    <w:rsid w:val="00BC0844"/>
    <w:rsid w:val="00BC0B72"/>
    <w:rsid w:val="00BC2844"/>
    <w:rsid w:val="00BC2AB9"/>
    <w:rsid w:val="00BC3856"/>
    <w:rsid w:val="00BC3F77"/>
    <w:rsid w:val="00BC583F"/>
    <w:rsid w:val="00BC6B61"/>
    <w:rsid w:val="00BC6BB9"/>
    <w:rsid w:val="00BC7D22"/>
    <w:rsid w:val="00BD1393"/>
    <w:rsid w:val="00BD1D5D"/>
    <w:rsid w:val="00BD3C36"/>
    <w:rsid w:val="00BD3C52"/>
    <w:rsid w:val="00BD3EFF"/>
    <w:rsid w:val="00BD4BEA"/>
    <w:rsid w:val="00BD518A"/>
    <w:rsid w:val="00BD5414"/>
    <w:rsid w:val="00BD6024"/>
    <w:rsid w:val="00BD6A32"/>
    <w:rsid w:val="00BD6AE0"/>
    <w:rsid w:val="00BD72E8"/>
    <w:rsid w:val="00BE1283"/>
    <w:rsid w:val="00BE1DC5"/>
    <w:rsid w:val="00BE21AB"/>
    <w:rsid w:val="00BE23EF"/>
    <w:rsid w:val="00BE2E26"/>
    <w:rsid w:val="00BE2E29"/>
    <w:rsid w:val="00BE3023"/>
    <w:rsid w:val="00BE6445"/>
    <w:rsid w:val="00BE7172"/>
    <w:rsid w:val="00BE7910"/>
    <w:rsid w:val="00BF2122"/>
    <w:rsid w:val="00BF277B"/>
    <w:rsid w:val="00BF37AB"/>
    <w:rsid w:val="00BF3832"/>
    <w:rsid w:val="00BF5358"/>
    <w:rsid w:val="00BF6F5B"/>
    <w:rsid w:val="00BF7593"/>
    <w:rsid w:val="00C0149D"/>
    <w:rsid w:val="00C02E2A"/>
    <w:rsid w:val="00C037BD"/>
    <w:rsid w:val="00C05AF8"/>
    <w:rsid w:val="00C065AE"/>
    <w:rsid w:val="00C06A17"/>
    <w:rsid w:val="00C10C28"/>
    <w:rsid w:val="00C11291"/>
    <w:rsid w:val="00C119A4"/>
    <w:rsid w:val="00C12957"/>
    <w:rsid w:val="00C1469A"/>
    <w:rsid w:val="00C15446"/>
    <w:rsid w:val="00C15AB4"/>
    <w:rsid w:val="00C17778"/>
    <w:rsid w:val="00C17A8D"/>
    <w:rsid w:val="00C20522"/>
    <w:rsid w:val="00C228B0"/>
    <w:rsid w:val="00C22B71"/>
    <w:rsid w:val="00C23049"/>
    <w:rsid w:val="00C23FCD"/>
    <w:rsid w:val="00C25572"/>
    <w:rsid w:val="00C31D41"/>
    <w:rsid w:val="00C31FD6"/>
    <w:rsid w:val="00C32271"/>
    <w:rsid w:val="00C32EB9"/>
    <w:rsid w:val="00C330EA"/>
    <w:rsid w:val="00C33312"/>
    <w:rsid w:val="00C33BF3"/>
    <w:rsid w:val="00C35AE6"/>
    <w:rsid w:val="00C36DDF"/>
    <w:rsid w:val="00C37168"/>
    <w:rsid w:val="00C37835"/>
    <w:rsid w:val="00C45941"/>
    <w:rsid w:val="00C45E67"/>
    <w:rsid w:val="00C4768B"/>
    <w:rsid w:val="00C47BE6"/>
    <w:rsid w:val="00C50E26"/>
    <w:rsid w:val="00C5267D"/>
    <w:rsid w:val="00C5292B"/>
    <w:rsid w:val="00C52E06"/>
    <w:rsid w:val="00C53432"/>
    <w:rsid w:val="00C5381F"/>
    <w:rsid w:val="00C5498E"/>
    <w:rsid w:val="00C551EB"/>
    <w:rsid w:val="00C55696"/>
    <w:rsid w:val="00C57CE2"/>
    <w:rsid w:val="00C57F7A"/>
    <w:rsid w:val="00C60623"/>
    <w:rsid w:val="00C61CBD"/>
    <w:rsid w:val="00C62E63"/>
    <w:rsid w:val="00C64C98"/>
    <w:rsid w:val="00C64CBF"/>
    <w:rsid w:val="00C6658F"/>
    <w:rsid w:val="00C6676F"/>
    <w:rsid w:val="00C66DD3"/>
    <w:rsid w:val="00C673EB"/>
    <w:rsid w:val="00C70770"/>
    <w:rsid w:val="00C72737"/>
    <w:rsid w:val="00C73B3E"/>
    <w:rsid w:val="00C73EEB"/>
    <w:rsid w:val="00C74351"/>
    <w:rsid w:val="00C74AC3"/>
    <w:rsid w:val="00C7624B"/>
    <w:rsid w:val="00C779ED"/>
    <w:rsid w:val="00C80384"/>
    <w:rsid w:val="00C811F2"/>
    <w:rsid w:val="00C81F5A"/>
    <w:rsid w:val="00C820F3"/>
    <w:rsid w:val="00C8314B"/>
    <w:rsid w:val="00C83267"/>
    <w:rsid w:val="00C85CBE"/>
    <w:rsid w:val="00C869C5"/>
    <w:rsid w:val="00C86AC6"/>
    <w:rsid w:val="00C90201"/>
    <w:rsid w:val="00C90F01"/>
    <w:rsid w:val="00C914EF"/>
    <w:rsid w:val="00C91B16"/>
    <w:rsid w:val="00C9257E"/>
    <w:rsid w:val="00C93F0E"/>
    <w:rsid w:val="00C94842"/>
    <w:rsid w:val="00C96DB0"/>
    <w:rsid w:val="00C97669"/>
    <w:rsid w:val="00CA133E"/>
    <w:rsid w:val="00CA652C"/>
    <w:rsid w:val="00CA687D"/>
    <w:rsid w:val="00CA7B28"/>
    <w:rsid w:val="00CB1576"/>
    <w:rsid w:val="00CB1671"/>
    <w:rsid w:val="00CB7865"/>
    <w:rsid w:val="00CC16EF"/>
    <w:rsid w:val="00CC4E4E"/>
    <w:rsid w:val="00CC5080"/>
    <w:rsid w:val="00CD0E4E"/>
    <w:rsid w:val="00CD297B"/>
    <w:rsid w:val="00CD4C61"/>
    <w:rsid w:val="00CD4D6E"/>
    <w:rsid w:val="00CD5273"/>
    <w:rsid w:val="00CD5B9C"/>
    <w:rsid w:val="00CD78D2"/>
    <w:rsid w:val="00CD7B3F"/>
    <w:rsid w:val="00CE029D"/>
    <w:rsid w:val="00CE0E88"/>
    <w:rsid w:val="00CE1209"/>
    <w:rsid w:val="00CE4392"/>
    <w:rsid w:val="00CE4710"/>
    <w:rsid w:val="00CF3955"/>
    <w:rsid w:val="00CF397B"/>
    <w:rsid w:val="00CF4080"/>
    <w:rsid w:val="00CF46E2"/>
    <w:rsid w:val="00CF5E62"/>
    <w:rsid w:val="00CF6636"/>
    <w:rsid w:val="00CF6C71"/>
    <w:rsid w:val="00CF746F"/>
    <w:rsid w:val="00CF7D93"/>
    <w:rsid w:val="00D0117D"/>
    <w:rsid w:val="00D02489"/>
    <w:rsid w:val="00D02EFA"/>
    <w:rsid w:val="00D04B90"/>
    <w:rsid w:val="00D07619"/>
    <w:rsid w:val="00D1260F"/>
    <w:rsid w:val="00D158E4"/>
    <w:rsid w:val="00D17A38"/>
    <w:rsid w:val="00D2198C"/>
    <w:rsid w:val="00D22DB4"/>
    <w:rsid w:val="00D25339"/>
    <w:rsid w:val="00D258BB"/>
    <w:rsid w:val="00D2596C"/>
    <w:rsid w:val="00D27704"/>
    <w:rsid w:val="00D30EFE"/>
    <w:rsid w:val="00D31312"/>
    <w:rsid w:val="00D3239E"/>
    <w:rsid w:val="00D3390B"/>
    <w:rsid w:val="00D33C5C"/>
    <w:rsid w:val="00D34593"/>
    <w:rsid w:val="00D3473B"/>
    <w:rsid w:val="00D34BAC"/>
    <w:rsid w:val="00D34BB5"/>
    <w:rsid w:val="00D3577F"/>
    <w:rsid w:val="00D35EC4"/>
    <w:rsid w:val="00D36320"/>
    <w:rsid w:val="00D377A7"/>
    <w:rsid w:val="00D40CAF"/>
    <w:rsid w:val="00D43663"/>
    <w:rsid w:val="00D44707"/>
    <w:rsid w:val="00D46E26"/>
    <w:rsid w:val="00D50424"/>
    <w:rsid w:val="00D531A7"/>
    <w:rsid w:val="00D540D7"/>
    <w:rsid w:val="00D544B5"/>
    <w:rsid w:val="00D559E2"/>
    <w:rsid w:val="00D55BC2"/>
    <w:rsid w:val="00D55C7D"/>
    <w:rsid w:val="00D609EA"/>
    <w:rsid w:val="00D6252A"/>
    <w:rsid w:val="00D625F1"/>
    <w:rsid w:val="00D6337F"/>
    <w:rsid w:val="00D637CD"/>
    <w:rsid w:val="00D66A8C"/>
    <w:rsid w:val="00D67261"/>
    <w:rsid w:val="00D7014E"/>
    <w:rsid w:val="00D71710"/>
    <w:rsid w:val="00D758EB"/>
    <w:rsid w:val="00D76D6A"/>
    <w:rsid w:val="00D77B6D"/>
    <w:rsid w:val="00D80E98"/>
    <w:rsid w:val="00D81D7C"/>
    <w:rsid w:val="00D8301A"/>
    <w:rsid w:val="00D85C36"/>
    <w:rsid w:val="00D87D79"/>
    <w:rsid w:val="00D87DFD"/>
    <w:rsid w:val="00D90811"/>
    <w:rsid w:val="00D92432"/>
    <w:rsid w:val="00D92E25"/>
    <w:rsid w:val="00D93DE1"/>
    <w:rsid w:val="00D96D01"/>
    <w:rsid w:val="00DA23F4"/>
    <w:rsid w:val="00DA2968"/>
    <w:rsid w:val="00DA3607"/>
    <w:rsid w:val="00DA4651"/>
    <w:rsid w:val="00DA5898"/>
    <w:rsid w:val="00DA6C7C"/>
    <w:rsid w:val="00DB14CA"/>
    <w:rsid w:val="00DB1D1D"/>
    <w:rsid w:val="00DB3AF8"/>
    <w:rsid w:val="00DB4433"/>
    <w:rsid w:val="00DB6640"/>
    <w:rsid w:val="00DB6AB1"/>
    <w:rsid w:val="00DC007B"/>
    <w:rsid w:val="00DC37AF"/>
    <w:rsid w:val="00DC4C2B"/>
    <w:rsid w:val="00DC5960"/>
    <w:rsid w:val="00DD0373"/>
    <w:rsid w:val="00DD059C"/>
    <w:rsid w:val="00DD07B5"/>
    <w:rsid w:val="00DD24CE"/>
    <w:rsid w:val="00DD3DCA"/>
    <w:rsid w:val="00DD406F"/>
    <w:rsid w:val="00DD458C"/>
    <w:rsid w:val="00DD5589"/>
    <w:rsid w:val="00DD5A92"/>
    <w:rsid w:val="00DD60C9"/>
    <w:rsid w:val="00DD67FD"/>
    <w:rsid w:val="00DD6F89"/>
    <w:rsid w:val="00DD73F2"/>
    <w:rsid w:val="00DD7BAD"/>
    <w:rsid w:val="00DD7F6B"/>
    <w:rsid w:val="00DE377C"/>
    <w:rsid w:val="00DE3AE2"/>
    <w:rsid w:val="00DE4356"/>
    <w:rsid w:val="00DE448F"/>
    <w:rsid w:val="00DE613B"/>
    <w:rsid w:val="00DE6BAF"/>
    <w:rsid w:val="00DE6BBD"/>
    <w:rsid w:val="00DE74E9"/>
    <w:rsid w:val="00DF085E"/>
    <w:rsid w:val="00DF1625"/>
    <w:rsid w:val="00DF1D47"/>
    <w:rsid w:val="00DF1E73"/>
    <w:rsid w:val="00DF2477"/>
    <w:rsid w:val="00DF36E3"/>
    <w:rsid w:val="00DF3C7F"/>
    <w:rsid w:val="00DF5F9A"/>
    <w:rsid w:val="00DF6D4B"/>
    <w:rsid w:val="00DF70CB"/>
    <w:rsid w:val="00E000F2"/>
    <w:rsid w:val="00E00AC1"/>
    <w:rsid w:val="00E02A3B"/>
    <w:rsid w:val="00E04138"/>
    <w:rsid w:val="00E04195"/>
    <w:rsid w:val="00E04DBE"/>
    <w:rsid w:val="00E0684A"/>
    <w:rsid w:val="00E12268"/>
    <w:rsid w:val="00E12642"/>
    <w:rsid w:val="00E126E2"/>
    <w:rsid w:val="00E13395"/>
    <w:rsid w:val="00E14103"/>
    <w:rsid w:val="00E15839"/>
    <w:rsid w:val="00E16590"/>
    <w:rsid w:val="00E1788F"/>
    <w:rsid w:val="00E17F94"/>
    <w:rsid w:val="00E200E1"/>
    <w:rsid w:val="00E21373"/>
    <w:rsid w:val="00E21EB5"/>
    <w:rsid w:val="00E223DC"/>
    <w:rsid w:val="00E22AFA"/>
    <w:rsid w:val="00E23D69"/>
    <w:rsid w:val="00E23EF8"/>
    <w:rsid w:val="00E245C2"/>
    <w:rsid w:val="00E256D1"/>
    <w:rsid w:val="00E25D6C"/>
    <w:rsid w:val="00E27062"/>
    <w:rsid w:val="00E27E5A"/>
    <w:rsid w:val="00E3053A"/>
    <w:rsid w:val="00E30769"/>
    <w:rsid w:val="00E31E53"/>
    <w:rsid w:val="00E32616"/>
    <w:rsid w:val="00E32E07"/>
    <w:rsid w:val="00E3408E"/>
    <w:rsid w:val="00E3471E"/>
    <w:rsid w:val="00E36241"/>
    <w:rsid w:val="00E40315"/>
    <w:rsid w:val="00E40D5A"/>
    <w:rsid w:val="00E4100B"/>
    <w:rsid w:val="00E41B14"/>
    <w:rsid w:val="00E421EA"/>
    <w:rsid w:val="00E454B5"/>
    <w:rsid w:val="00E45578"/>
    <w:rsid w:val="00E4571D"/>
    <w:rsid w:val="00E45D9F"/>
    <w:rsid w:val="00E45F15"/>
    <w:rsid w:val="00E4660A"/>
    <w:rsid w:val="00E47A38"/>
    <w:rsid w:val="00E50375"/>
    <w:rsid w:val="00E51839"/>
    <w:rsid w:val="00E52851"/>
    <w:rsid w:val="00E5521F"/>
    <w:rsid w:val="00E55A3C"/>
    <w:rsid w:val="00E55AE6"/>
    <w:rsid w:val="00E60485"/>
    <w:rsid w:val="00E60823"/>
    <w:rsid w:val="00E619BF"/>
    <w:rsid w:val="00E64883"/>
    <w:rsid w:val="00E64BB7"/>
    <w:rsid w:val="00E66F89"/>
    <w:rsid w:val="00E67EA2"/>
    <w:rsid w:val="00E70911"/>
    <w:rsid w:val="00E70C2E"/>
    <w:rsid w:val="00E73916"/>
    <w:rsid w:val="00E76C98"/>
    <w:rsid w:val="00E80FED"/>
    <w:rsid w:val="00E82231"/>
    <w:rsid w:val="00E830DB"/>
    <w:rsid w:val="00E83709"/>
    <w:rsid w:val="00E83AF0"/>
    <w:rsid w:val="00E83C2E"/>
    <w:rsid w:val="00E83FCC"/>
    <w:rsid w:val="00E854F7"/>
    <w:rsid w:val="00E8750C"/>
    <w:rsid w:val="00E90772"/>
    <w:rsid w:val="00E92238"/>
    <w:rsid w:val="00E92C5A"/>
    <w:rsid w:val="00E93930"/>
    <w:rsid w:val="00E94A15"/>
    <w:rsid w:val="00E94DEE"/>
    <w:rsid w:val="00E95C53"/>
    <w:rsid w:val="00EA0086"/>
    <w:rsid w:val="00EA0500"/>
    <w:rsid w:val="00EA1411"/>
    <w:rsid w:val="00EA385C"/>
    <w:rsid w:val="00EA4CD5"/>
    <w:rsid w:val="00EA585A"/>
    <w:rsid w:val="00EA5A3C"/>
    <w:rsid w:val="00EA6276"/>
    <w:rsid w:val="00EA6511"/>
    <w:rsid w:val="00EA65C7"/>
    <w:rsid w:val="00EA70C2"/>
    <w:rsid w:val="00EB1AE9"/>
    <w:rsid w:val="00EB3180"/>
    <w:rsid w:val="00EB3BE0"/>
    <w:rsid w:val="00EB4CF9"/>
    <w:rsid w:val="00EB6C54"/>
    <w:rsid w:val="00EC0E0E"/>
    <w:rsid w:val="00EC155E"/>
    <w:rsid w:val="00EC181E"/>
    <w:rsid w:val="00EC1F8D"/>
    <w:rsid w:val="00EC2572"/>
    <w:rsid w:val="00EC27E2"/>
    <w:rsid w:val="00EC2DE6"/>
    <w:rsid w:val="00EC373F"/>
    <w:rsid w:val="00EC66ED"/>
    <w:rsid w:val="00ED4027"/>
    <w:rsid w:val="00ED5C1F"/>
    <w:rsid w:val="00EE04AD"/>
    <w:rsid w:val="00EE2156"/>
    <w:rsid w:val="00EE3039"/>
    <w:rsid w:val="00EE3110"/>
    <w:rsid w:val="00EE4008"/>
    <w:rsid w:val="00EF21E8"/>
    <w:rsid w:val="00EF3052"/>
    <w:rsid w:val="00EF3724"/>
    <w:rsid w:val="00EF716E"/>
    <w:rsid w:val="00F00892"/>
    <w:rsid w:val="00F01E58"/>
    <w:rsid w:val="00F02B99"/>
    <w:rsid w:val="00F0302D"/>
    <w:rsid w:val="00F035F2"/>
    <w:rsid w:val="00F057F8"/>
    <w:rsid w:val="00F106CD"/>
    <w:rsid w:val="00F10A71"/>
    <w:rsid w:val="00F12C55"/>
    <w:rsid w:val="00F12FCB"/>
    <w:rsid w:val="00F131A9"/>
    <w:rsid w:val="00F1330E"/>
    <w:rsid w:val="00F14130"/>
    <w:rsid w:val="00F16932"/>
    <w:rsid w:val="00F2016D"/>
    <w:rsid w:val="00F21131"/>
    <w:rsid w:val="00F2147E"/>
    <w:rsid w:val="00F21C5C"/>
    <w:rsid w:val="00F22AED"/>
    <w:rsid w:val="00F22E6B"/>
    <w:rsid w:val="00F22F57"/>
    <w:rsid w:val="00F239E3"/>
    <w:rsid w:val="00F31F13"/>
    <w:rsid w:val="00F321AC"/>
    <w:rsid w:val="00F32586"/>
    <w:rsid w:val="00F325CF"/>
    <w:rsid w:val="00F353EF"/>
    <w:rsid w:val="00F35995"/>
    <w:rsid w:val="00F35B8A"/>
    <w:rsid w:val="00F37223"/>
    <w:rsid w:val="00F372C1"/>
    <w:rsid w:val="00F37569"/>
    <w:rsid w:val="00F40505"/>
    <w:rsid w:val="00F42033"/>
    <w:rsid w:val="00F4334C"/>
    <w:rsid w:val="00F43D26"/>
    <w:rsid w:val="00F44EC5"/>
    <w:rsid w:val="00F44ED3"/>
    <w:rsid w:val="00F51588"/>
    <w:rsid w:val="00F51FD0"/>
    <w:rsid w:val="00F52599"/>
    <w:rsid w:val="00F5272C"/>
    <w:rsid w:val="00F54554"/>
    <w:rsid w:val="00F5571D"/>
    <w:rsid w:val="00F55EA1"/>
    <w:rsid w:val="00F61A3A"/>
    <w:rsid w:val="00F62340"/>
    <w:rsid w:val="00F6312F"/>
    <w:rsid w:val="00F66E01"/>
    <w:rsid w:val="00F66F2B"/>
    <w:rsid w:val="00F704CA"/>
    <w:rsid w:val="00F70929"/>
    <w:rsid w:val="00F70EB2"/>
    <w:rsid w:val="00F71155"/>
    <w:rsid w:val="00F72AE5"/>
    <w:rsid w:val="00F73536"/>
    <w:rsid w:val="00F760D1"/>
    <w:rsid w:val="00F76CDD"/>
    <w:rsid w:val="00F774B5"/>
    <w:rsid w:val="00F774CD"/>
    <w:rsid w:val="00F77820"/>
    <w:rsid w:val="00F818E6"/>
    <w:rsid w:val="00F818ED"/>
    <w:rsid w:val="00F854BE"/>
    <w:rsid w:val="00F879D6"/>
    <w:rsid w:val="00F87E5A"/>
    <w:rsid w:val="00F90A23"/>
    <w:rsid w:val="00F90C89"/>
    <w:rsid w:val="00F914C4"/>
    <w:rsid w:val="00F95455"/>
    <w:rsid w:val="00F95C1C"/>
    <w:rsid w:val="00F960E1"/>
    <w:rsid w:val="00F971ED"/>
    <w:rsid w:val="00FA078A"/>
    <w:rsid w:val="00FA0915"/>
    <w:rsid w:val="00FA21AF"/>
    <w:rsid w:val="00FA32DA"/>
    <w:rsid w:val="00FA3A27"/>
    <w:rsid w:val="00FA5677"/>
    <w:rsid w:val="00FA6978"/>
    <w:rsid w:val="00FA7322"/>
    <w:rsid w:val="00FB0002"/>
    <w:rsid w:val="00FB0D0A"/>
    <w:rsid w:val="00FB0F2D"/>
    <w:rsid w:val="00FB1196"/>
    <w:rsid w:val="00FB2AF2"/>
    <w:rsid w:val="00FB2CFB"/>
    <w:rsid w:val="00FB3499"/>
    <w:rsid w:val="00FB3B1B"/>
    <w:rsid w:val="00FB42D6"/>
    <w:rsid w:val="00FB4601"/>
    <w:rsid w:val="00FB538C"/>
    <w:rsid w:val="00FB5773"/>
    <w:rsid w:val="00FB600A"/>
    <w:rsid w:val="00FB60C4"/>
    <w:rsid w:val="00FB6132"/>
    <w:rsid w:val="00FB620F"/>
    <w:rsid w:val="00FB6B43"/>
    <w:rsid w:val="00FB7A92"/>
    <w:rsid w:val="00FB7A9A"/>
    <w:rsid w:val="00FC0D3C"/>
    <w:rsid w:val="00FC19D3"/>
    <w:rsid w:val="00FC1E36"/>
    <w:rsid w:val="00FC2BED"/>
    <w:rsid w:val="00FC34E2"/>
    <w:rsid w:val="00FC3657"/>
    <w:rsid w:val="00FC415C"/>
    <w:rsid w:val="00FC6D56"/>
    <w:rsid w:val="00FC7489"/>
    <w:rsid w:val="00FC7B31"/>
    <w:rsid w:val="00FC7C32"/>
    <w:rsid w:val="00FD0679"/>
    <w:rsid w:val="00FD4EA1"/>
    <w:rsid w:val="00FD565C"/>
    <w:rsid w:val="00FD5AAB"/>
    <w:rsid w:val="00FE00CB"/>
    <w:rsid w:val="00FE0E32"/>
    <w:rsid w:val="00FE0E61"/>
    <w:rsid w:val="00FE1A89"/>
    <w:rsid w:val="00FE1E92"/>
    <w:rsid w:val="00FE3150"/>
    <w:rsid w:val="00FE461E"/>
    <w:rsid w:val="00FE65BA"/>
    <w:rsid w:val="00FF0169"/>
    <w:rsid w:val="00FF039B"/>
    <w:rsid w:val="00FF07B1"/>
    <w:rsid w:val="00FF12EE"/>
    <w:rsid w:val="00FF2AFC"/>
    <w:rsid w:val="00FF4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21F80"/>
  <w15:docId w15:val="{9AC0B39E-51BD-4C59-B58C-6AE9FA43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34B"/>
    <w:rPr>
      <w:rFonts w:ascii="Times New Roman" w:hAnsi="Times New Roman"/>
      <w:sz w:val="28"/>
    </w:rPr>
  </w:style>
  <w:style w:type="paragraph" w:styleId="Heading1">
    <w:name w:val="heading 1"/>
    <w:basedOn w:val="Normal"/>
    <w:next w:val="Normal"/>
    <w:link w:val="Heading1Char"/>
    <w:uiPriority w:val="9"/>
    <w:qFormat/>
    <w:rsid w:val="000034E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701DF"/>
    <w:pPr>
      <w:keepNext/>
      <w:keepLines/>
      <w:spacing w:before="40" w:after="0" w:line="240" w:lineRule="auto"/>
      <w:ind w:firstLine="706"/>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700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0099"/>
    <w:pPr>
      <w:keepNext/>
      <w:keepLines/>
      <w:spacing w:before="40" w:after="0"/>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iPriority w:val="9"/>
    <w:semiHidden/>
    <w:unhideWhenUsed/>
    <w:qFormat/>
    <w:rsid w:val="00B70099"/>
    <w:pPr>
      <w:keepNext/>
      <w:keepLines/>
      <w:spacing w:before="40" w:after="0"/>
      <w:outlineLvl w:val="4"/>
    </w:pPr>
    <w:rPr>
      <w:rFonts w:asciiTheme="majorHAnsi" w:eastAsiaTheme="majorEastAsia" w:hAnsiTheme="majorHAnsi" w:cstheme="majorBidi"/>
      <w:color w:val="2E74B5" w:themeColor="accent1" w:themeShade="BF"/>
      <w:sz w:val="22"/>
    </w:rPr>
  </w:style>
  <w:style w:type="paragraph" w:styleId="Heading6">
    <w:name w:val="heading 6"/>
    <w:basedOn w:val="Normal"/>
    <w:next w:val="Normal"/>
    <w:link w:val="Heading6Char"/>
    <w:uiPriority w:val="9"/>
    <w:semiHidden/>
    <w:unhideWhenUsed/>
    <w:qFormat/>
    <w:rsid w:val="00B70099"/>
    <w:pPr>
      <w:keepNext/>
      <w:keepLines/>
      <w:spacing w:before="40" w:after="0"/>
      <w:outlineLvl w:val="5"/>
    </w:pPr>
    <w:rPr>
      <w:rFonts w:asciiTheme="majorHAnsi" w:eastAsiaTheme="majorEastAsia" w:hAnsiTheme="majorHAnsi" w:cstheme="majorBidi"/>
      <w:color w:val="1F4D78" w:themeColor="accent1" w:themeShade="7F"/>
      <w:sz w:val="22"/>
    </w:rPr>
  </w:style>
  <w:style w:type="paragraph" w:styleId="Heading7">
    <w:name w:val="heading 7"/>
    <w:basedOn w:val="Normal"/>
    <w:next w:val="Normal"/>
    <w:link w:val="Heading7Char"/>
    <w:uiPriority w:val="9"/>
    <w:semiHidden/>
    <w:unhideWhenUsed/>
    <w:qFormat/>
    <w:rsid w:val="00B70099"/>
    <w:pPr>
      <w:keepNext/>
      <w:keepLines/>
      <w:spacing w:before="40" w:after="0"/>
      <w:outlineLvl w:val="6"/>
    </w:pPr>
    <w:rPr>
      <w:rFonts w:asciiTheme="majorHAnsi" w:eastAsiaTheme="majorEastAsia" w:hAnsiTheme="majorHAnsi" w:cstheme="majorBidi"/>
      <w:i/>
      <w:iCs/>
      <w:color w:val="1F4D78" w:themeColor="accent1" w:themeShade="7F"/>
      <w:sz w:val="22"/>
    </w:rPr>
  </w:style>
  <w:style w:type="paragraph" w:styleId="Heading8">
    <w:name w:val="heading 8"/>
    <w:basedOn w:val="Normal"/>
    <w:next w:val="Normal"/>
    <w:link w:val="Heading8Char"/>
    <w:uiPriority w:val="9"/>
    <w:semiHidden/>
    <w:unhideWhenUsed/>
    <w:qFormat/>
    <w:rsid w:val="00B7009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009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8F1661"/>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8F1661"/>
    <w:pPr>
      <w:widowControl w:val="0"/>
      <w:shd w:val="clear" w:color="auto" w:fill="FFFFFF"/>
      <w:spacing w:after="0" w:line="274" w:lineRule="exact"/>
      <w:jc w:val="both"/>
    </w:pPr>
    <w:rPr>
      <w:rFonts w:eastAsia="Times New Roman" w:cs="Times New Roman"/>
    </w:rPr>
  </w:style>
  <w:style w:type="paragraph" w:styleId="FootnoteText">
    <w:name w:val="footnote text"/>
    <w:aliases w:val="Char,Знак1,Знак, Char, Знак1, Знак,single space,footnote text,FOOTNOTES,fn,Footnote Text Char1,Footnote Text Char2 Char,Footnote Text Char1 Char Char,Footnote Text Char2 Char Char Char,Footnote Text Char1 Char Char Char Char, Cha,Cha,A,ft"/>
    <w:basedOn w:val="Normal"/>
    <w:link w:val="FootnoteTextChar"/>
    <w:uiPriority w:val="99"/>
    <w:unhideWhenUsed/>
    <w:qFormat/>
    <w:rsid w:val="00627652"/>
    <w:pPr>
      <w:spacing w:after="0" w:line="240" w:lineRule="auto"/>
    </w:pPr>
    <w:rPr>
      <w:sz w:val="20"/>
      <w:szCs w:val="20"/>
    </w:rPr>
  </w:style>
  <w:style w:type="character" w:customStyle="1" w:styleId="FootnoteTextChar">
    <w:name w:val="Footnote Text Char"/>
    <w:aliases w:val="Char Char,Знак1 Char,Знак Char, Char Char, Знак1 Char, Знак Char,single space Char,footnote text Char,FOOTNOTES Char,fn Char,Footnote Text Char1 Char,Footnote Text Char2 Char Char,Footnote Text Char1 Char Char Char, Cha Char,Cha Char"/>
    <w:basedOn w:val="DefaultParagraphFont"/>
    <w:link w:val="FootnoteText"/>
    <w:uiPriority w:val="99"/>
    <w:rsid w:val="00627652"/>
    <w:rPr>
      <w:sz w:val="20"/>
      <w:szCs w:val="20"/>
    </w:rPr>
  </w:style>
  <w:style w:type="character" w:styleId="FootnoteReference">
    <w:name w:val="footnote reference"/>
    <w:aliases w:val="ftref,Times 10 Point,Exposant 3 Point,Footnote symbol,Footnote reference number,EN Footnote Reference,note TESI,16 Point,Superscript 6 Point,BVI fnr,Char Char1,FOOTNOTES Char1,fn Char1,single space Char1,ft Char1,Ref,fr"/>
    <w:basedOn w:val="DefaultParagraphFont"/>
    <w:link w:val="FNRefeCharChar"/>
    <w:uiPriority w:val="99"/>
    <w:unhideWhenUsed/>
    <w:rsid w:val="00627652"/>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8E3CEA"/>
    <w:pPr>
      <w:spacing w:after="0" w:line="240" w:lineRule="exact"/>
      <w:jc w:val="both"/>
    </w:pPr>
    <w:rPr>
      <w:vertAlign w:val="superscript"/>
    </w:rPr>
  </w:style>
  <w:style w:type="table" w:styleId="TableGrid">
    <w:name w:val="Table Grid"/>
    <w:basedOn w:val="TableNormal"/>
    <w:uiPriority w:val="39"/>
    <w:rsid w:val="008E3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09E3"/>
    <w:pPr>
      <w:tabs>
        <w:tab w:val="center" w:pos="4844"/>
        <w:tab w:val="right" w:pos="9689"/>
      </w:tabs>
      <w:spacing w:after="0" w:line="240" w:lineRule="auto"/>
    </w:pPr>
  </w:style>
  <w:style w:type="character" w:customStyle="1" w:styleId="HeaderChar">
    <w:name w:val="Header Char"/>
    <w:basedOn w:val="DefaultParagraphFont"/>
    <w:link w:val="Header"/>
    <w:uiPriority w:val="99"/>
    <w:rsid w:val="007509E3"/>
  </w:style>
  <w:style w:type="paragraph" w:styleId="Footer">
    <w:name w:val="footer"/>
    <w:basedOn w:val="Normal"/>
    <w:link w:val="FooterChar"/>
    <w:uiPriority w:val="99"/>
    <w:unhideWhenUsed/>
    <w:rsid w:val="007509E3"/>
    <w:pPr>
      <w:tabs>
        <w:tab w:val="center" w:pos="4844"/>
        <w:tab w:val="right" w:pos="9689"/>
      </w:tabs>
      <w:spacing w:after="0" w:line="240" w:lineRule="auto"/>
    </w:pPr>
  </w:style>
  <w:style w:type="character" w:customStyle="1" w:styleId="FooterChar">
    <w:name w:val="Footer Char"/>
    <w:basedOn w:val="DefaultParagraphFont"/>
    <w:link w:val="Footer"/>
    <w:uiPriority w:val="99"/>
    <w:rsid w:val="007509E3"/>
  </w:style>
  <w:style w:type="character" w:customStyle="1" w:styleId="Heading2Char">
    <w:name w:val="Heading 2 Char"/>
    <w:basedOn w:val="DefaultParagraphFont"/>
    <w:link w:val="Heading2"/>
    <w:uiPriority w:val="9"/>
    <w:rsid w:val="001701DF"/>
    <w:rPr>
      <w:rFonts w:ascii="Times New Roman" w:eastAsiaTheme="majorEastAsia" w:hAnsi="Times New Roman" w:cstheme="majorBidi"/>
      <w:b/>
      <w:sz w:val="28"/>
      <w:szCs w:val="26"/>
    </w:rPr>
  </w:style>
  <w:style w:type="paragraph" w:styleId="ListParagraph">
    <w:name w:val="List Paragraph"/>
    <w:aliases w:val="Scriptoria bullet points,List Paragraph 1,Абзац списка1,strikethrough,standaard met opsomming,Bullets,References,Liste 1,List Paragraph nowy,Numbered List Paragraph,List Paragraph (numbered (a)),Medium Grid 1 - Accent 21,Dot pt"/>
    <w:basedOn w:val="Normal"/>
    <w:link w:val="ListParagraphChar"/>
    <w:uiPriority w:val="34"/>
    <w:qFormat/>
    <w:rsid w:val="001701DF"/>
    <w:pPr>
      <w:spacing w:after="0"/>
      <w:ind w:left="720"/>
      <w:contextualSpacing/>
      <w:jc w:val="both"/>
    </w:pPr>
  </w:style>
  <w:style w:type="character" w:customStyle="1" w:styleId="ListParagraphChar">
    <w:name w:val="List Paragraph Char"/>
    <w:aliases w:val="Scriptoria bullet points Char,List Paragraph 1 Char,Абзац списка1 Char,strikethrough Char,standaard met opsomming Char,Bullets Char,References Char,Liste 1 Char,List Paragraph nowy Char,Numbered List Paragraph Char,Dot pt Char"/>
    <w:link w:val="ListParagraph"/>
    <w:uiPriority w:val="34"/>
    <w:locked/>
    <w:rsid w:val="001701DF"/>
    <w:rPr>
      <w:rFonts w:ascii="Times New Roman" w:hAnsi="Times New Roman"/>
      <w:sz w:val="28"/>
    </w:rPr>
  </w:style>
  <w:style w:type="paragraph" w:styleId="BalloonText">
    <w:name w:val="Balloon Text"/>
    <w:basedOn w:val="Normal"/>
    <w:link w:val="BalloonTextChar"/>
    <w:uiPriority w:val="99"/>
    <w:semiHidden/>
    <w:unhideWhenUsed/>
    <w:rsid w:val="00217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6D3"/>
    <w:rPr>
      <w:rFonts w:ascii="Segoe UI" w:hAnsi="Segoe UI" w:cs="Segoe UI"/>
      <w:sz w:val="18"/>
      <w:szCs w:val="18"/>
    </w:rPr>
  </w:style>
  <w:style w:type="paragraph" w:customStyle="1" w:styleId="rg">
    <w:name w:val="rg"/>
    <w:basedOn w:val="Normal"/>
    <w:rsid w:val="00FB60C4"/>
    <w:pPr>
      <w:spacing w:after="0" w:line="240" w:lineRule="auto"/>
      <w:jc w:val="right"/>
    </w:pPr>
    <w:rPr>
      <w:rFonts w:eastAsia="Times New Roman" w:cs="Times New Roman"/>
      <w:sz w:val="24"/>
      <w:szCs w:val="24"/>
    </w:r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Текст сноски1 Char,Текст сноски11 Char,Char1 Char"/>
    <w:link w:val="NormalWeb"/>
    <w:uiPriority w:val="99"/>
    <w:locked/>
    <w:rsid w:val="00BB0973"/>
    <w:rPr>
      <w:rFonts w:ascii="Times New Roman" w:eastAsia="Times New Roman" w:hAnsi="Times New Roman" w:cs="Times New Roman"/>
      <w:sz w:val="24"/>
      <w:szCs w:val="24"/>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11,Char1,A Знак Знак,Текст сноски2"/>
    <w:basedOn w:val="Normal"/>
    <w:link w:val="NormalWebChar"/>
    <w:uiPriority w:val="99"/>
    <w:unhideWhenUsed/>
    <w:qFormat/>
    <w:rsid w:val="00BB0973"/>
    <w:pPr>
      <w:spacing w:after="0" w:line="240" w:lineRule="auto"/>
      <w:ind w:firstLine="567"/>
      <w:jc w:val="both"/>
    </w:pPr>
    <w:rPr>
      <w:rFonts w:eastAsia="Times New Roman" w:cs="Times New Roman"/>
      <w:sz w:val="24"/>
      <w:szCs w:val="24"/>
    </w:rPr>
  </w:style>
  <w:style w:type="paragraph" w:customStyle="1" w:styleId="tt">
    <w:name w:val="tt"/>
    <w:basedOn w:val="Normal"/>
    <w:rsid w:val="001108CD"/>
    <w:pPr>
      <w:spacing w:after="0" w:line="240" w:lineRule="auto"/>
      <w:jc w:val="center"/>
    </w:pPr>
    <w:rPr>
      <w:rFonts w:eastAsia="Times New Roman" w:cs="Times New Roman"/>
      <w:b/>
      <w:bCs/>
      <w:sz w:val="24"/>
      <w:szCs w:val="24"/>
    </w:rPr>
  </w:style>
  <w:style w:type="paragraph" w:customStyle="1" w:styleId="cn">
    <w:name w:val="cn"/>
    <w:basedOn w:val="Normal"/>
    <w:rsid w:val="001108CD"/>
    <w:pPr>
      <w:spacing w:after="0" w:line="240" w:lineRule="auto"/>
      <w:jc w:val="center"/>
    </w:pPr>
    <w:rPr>
      <w:rFonts w:eastAsia="Times New Roman" w:cs="Times New Roman"/>
      <w:sz w:val="24"/>
      <w:szCs w:val="24"/>
    </w:rPr>
  </w:style>
  <w:style w:type="character" w:customStyle="1" w:styleId="Heading1Char">
    <w:name w:val="Heading 1 Char"/>
    <w:basedOn w:val="DefaultParagraphFont"/>
    <w:link w:val="Heading1"/>
    <w:uiPriority w:val="9"/>
    <w:rsid w:val="000034EB"/>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8F7471"/>
    <w:pPr>
      <w:outlineLvl w:val="9"/>
    </w:pPr>
  </w:style>
  <w:style w:type="paragraph" w:styleId="TOC1">
    <w:name w:val="toc 1"/>
    <w:basedOn w:val="Normal"/>
    <w:next w:val="Normal"/>
    <w:autoRedefine/>
    <w:uiPriority w:val="39"/>
    <w:unhideWhenUsed/>
    <w:rsid w:val="00CD0E4E"/>
    <w:pPr>
      <w:tabs>
        <w:tab w:val="right" w:leader="dot" w:pos="9345"/>
      </w:tabs>
      <w:spacing w:after="0"/>
    </w:pPr>
  </w:style>
  <w:style w:type="paragraph" w:styleId="TOC2">
    <w:name w:val="toc 2"/>
    <w:basedOn w:val="Normal"/>
    <w:next w:val="Normal"/>
    <w:autoRedefine/>
    <w:uiPriority w:val="39"/>
    <w:unhideWhenUsed/>
    <w:rsid w:val="008F7471"/>
    <w:pPr>
      <w:spacing w:after="100"/>
      <w:ind w:left="220"/>
    </w:pPr>
  </w:style>
  <w:style w:type="character" w:styleId="Hyperlink">
    <w:name w:val="Hyperlink"/>
    <w:basedOn w:val="DefaultParagraphFont"/>
    <w:uiPriority w:val="99"/>
    <w:unhideWhenUsed/>
    <w:rsid w:val="008F7471"/>
    <w:rPr>
      <w:color w:val="0563C1" w:themeColor="hyperlink"/>
      <w:u w:val="single"/>
    </w:rPr>
  </w:style>
  <w:style w:type="paragraph" w:customStyle="1" w:styleId="Style21">
    <w:name w:val="Style21"/>
    <w:basedOn w:val="Normal"/>
    <w:uiPriority w:val="99"/>
    <w:rsid w:val="001F21A4"/>
    <w:pPr>
      <w:widowControl w:val="0"/>
      <w:autoSpaceDE w:val="0"/>
      <w:autoSpaceDN w:val="0"/>
      <w:adjustRightInd w:val="0"/>
      <w:spacing w:after="0" w:line="314" w:lineRule="exact"/>
      <w:ind w:firstLine="571"/>
      <w:jc w:val="both"/>
    </w:pPr>
    <w:rPr>
      <w:rFonts w:eastAsia="Times New Roman" w:cs="Times New Roman"/>
      <w:sz w:val="24"/>
      <w:szCs w:val="24"/>
      <w:lang w:val="ru-RU" w:eastAsia="ru-RU"/>
    </w:rPr>
  </w:style>
  <w:style w:type="character" w:styleId="CommentReference">
    <w:name w:val="annotation reference"/>
    <w:basedOn w:val="DefaultParagraphFont"/>
    <w:uiPriority w:val="99"/>
    <w:semiHidden/>
    <w:unhideWhenUsed/>
    <w:rsid w:val="00447A1B"/>
    <w:rPr>
      <w:sz w:val="16"/>
      <w:szCs w:val="16"/>
    </w:rPr>
  </w:style>
  <w:style w:type="paragraph" w:styleId="CommentText">
    <w:name w:val="annotation text"/>
    <w:basedOn w:val="Normal"/>
    <w:link w:val="CommentTextChar"/>
    <w:uiPriority w:val="99"/>
    <w:unhideWhenUsed/>
    <w:rsid w:val="00447A1B"/>
    <w:pPr>
      <w:spacing w:line="240" w:lineRule="auto"/>
    </w:pPr>
    <w:rPr>
      <w:sz w:val="20"/>
      <w:szCs w:val="20"/>
    </w:rPr>
  </w:style>
  <w:style w:type="character" w:customStyle="1" w:styleId="CommentTextChar">
    <w:name w:val="Comment Text Char"/>
    <w:basedOn w:val="DefaultParagraphFont"/>
    <w:link w:val="CommentText"/>
    <w:uiPriority w:val="99"/>
    <w:rsid w:val="00447A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7A1B"/>
    <w:rPr>
      <w:b/>
      <w:bCs/>
    </w:rPr>
  </w:style>
  <w:style w:type="character" w:customStyle="1" w:styleId="CommentSubjectChar">
    <w:name w:val="Comment Subject Char"/>
    <w:basedOn w:val="CommentTextChar"/>
    <w:link w:val="CommentSubject"/>
    <w:uiPriority w:val="99"/>
    <w:semiHidden/>
    <w:rsid w:val="00447A1B"/>
    <w:rPr>
      <w:rFonts w:ascii="Times New Roman" w:hAnsi="Times New Roman"/>
      <w:b/>
      <w:bCs/>
      <w:sz w:val="20"/>
      <w:szCs w:val="20"/>
    </w:rPr>
  </w:style>
  <w:style w:type="character" w:customStyle="1" w:styleId="Heading3Char">
    <w:name w:val="Heading 3 Char"/>
    <w:basedOn w:val="DefaultParagraphFont"/>
    <w:link w:val="Heading3"/>
    <w:uiPriority w:val="9"/>
    <w:rsid w:val="00B7009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009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009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009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009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00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0099"/>
    <w:rPr>
      <w:rFonts w:asciiTheme="majorHAnsi" w:eastAsiaTheme="majorEastAsia" w:hAnsiTheme="majorHAnsi" w:cstheme="majorBidi"/>
      <w:i/>
      <w:iCs/>
      <w:color w:val="272727" w:themeColor="text1" w:themeTint="D8"/>
      <w:sz w:val="21"/>
      <w:szCs w:val="21"/>
    </w:rPr>
  </w:style>
  <w:style w:type="paragraph" w:customStyle="1" w:styleId="Default">
    <w:name w:val="Default"/>
    <w:rsid w:val="00B70099"/>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B70099"/>
    <w:pPr>
      <w:spacing w:after="120" w:line="240" w:lineRule="auto"/>
    </w:pPr>
    <w:rPr>
      <w:rFonts w:eastAsia="Times New Roman" w:cs="Times New Roman"/>
      <w:sz w:val="16"/>
      <w:szCs w:val="16"/>
      <w:lang w:val="ru-RU" w:eastAsia="ru-RU"/>
    </w:rPr>
  </w:style>
  <w:style w:type="character" w:customStyle="1" w:styleId="BodyText3Char">
    <w:name w:val="Body Text 3 Char"/>
    <w:basedOn w:val="DefaultParagraphFont"/>
    <w:link w:val="BodyText3"/>
    <w:uiPriority w:val="99"/>
    <w:rsid w:val="00B70099"/>
    <w:rPr>
      <w:rFonts w:ascii="Times New Roman" w:eastAsia="Times New Roman" w:hAnsi="Times New Roman" w:cs="Times New Roman"/>
      <w:sz w:val="16"/>
      <w:szCs w:val="16"/>
      <w:lang w:val="ru-RU" w:eastAsia="ru-RU"/>
    </w:rPr>
  </w:style>
  <w:style w:type="paragraph" w:styleId="NoSpacing">
    <w:name w:val="No Spacing"/>
    <w:uiPriority w:val="1"/>
    <w:qFormat/>
    <w:rsid w:val="00B70099"/>
    <w:pPr>
      <w:widowControl w:val="0"/>
      <w:adjustRightInd w:val="0"/>
      <w:spacing w:after="0" w:line="240" w:lineRule="auto"/>
      <w:jc w:val="both"/>
      <w:textAlignment w:val="baseline"/>
    </w:pPr>
    <w:rPr>
      <w:rFonts w:ascii="Times New Roman" w:eastAsia="Times New Roman" w:hAnsi="Times New Roman" w:cs="Times New Roman"/>
      <w:sz w:val="20"/>
      <w:szCs w:val="20"/>
      <w:lang w:val="lv-LV" w:eastAsia="lv-LV"/>
    </w:rPr>
  </w:style>
  <w:style w:type="character" w:styleId="PageNumber">
    <w:name w:val="page number"/>
    <w:basedOn w:val="DefaultParagraphFont"/>
    <w:uiPriority w:val="99"/>
    <w:semiHidden/>
    <w:unhideWhenUsed/>
    <w:rsid w:val="00B70099"/>
  </w:style>
  <w:style w:type="paragraph" w:styleId="TOC3">
    <w:name w:val="toc 3"/>
    <w:basedOn w:val="Normal"/>
    <w:next w:val="Normal"/>
    <w:autoRedefine/>
    <w:uiPriority w:val="39"/>
    <w:unhideWhenUsed/>
    <w:rsid w:val="00B70099"/>
    <w:pPr>
      <w:spacing w:after="0" w:line="240" w:lineRule="auto"/>
      <w:ind w:left="220"/>
    </w:pPr>
    <w:rPr>
      <w:rFonts w:asciiTheme="minorHAnsi" w:hAnsiTheme="minorHAnsi"/>
      <w:sz w:val="20"/>
      <w:szCs w:val="20"/>
    </w:rPr>
  </w:style>
  <w:style w:type="paragraph" w:styleId="TOC4">
    <w:name w:val="toc 4"/>
    <w:basedOn w:val="Normal"/>
    <w:next w:val="Normal"/>
    <w:autoRedefine/>
    <w:uiPriority w:val="39"/>
    <w:unhideWhenUsed/>
    <w:rsid w:val="00B70099"/>
    <w:pPr>
      <w:spacing w:after="0" w:line="240" w:lineRule="auto"/>
      <w:ind w:left="440"/>
    </w:pPr>
    <w:rPr>
      <w:rFonts w:asciiTheme="minorHAnsi" w:hAnsiTheme="minorHAnsi"/>
      <w:sz w:val="20"/>
      <w:szCs w:val="20"/>
    </w:rPr>
  </w:style>
  <w:style w:type="paragraph" w:styleId="TOC5">
    <w:name w:val="toc 5"/>
    <w:basedOn w:val="Normal"/>
    <w:next w:val="Normal"/>
    <w:autoRedefine/>
    <w:uiPriority w:val="39"/>
    <w:unhideWhenUsed/>
    <w:rsid w:val="00B70099"/>
    <w:pPr>
      <w:spacing w:after="0" w:line="240" w:lineRule="auto"/>
      <w:ind w:left="660"/>
    </w:pPr>
    <w:rPr>
      <w:rFonts w:asciiTheme="minorHAnsi" w:hAnsiTheme="minorHAnsi"/>
      <w:sz w:val="20"/>
      <w:szCs w:val="20"/>
    </w:rPr>
  </w:style>
  <w:style w:type="paragraph" w:styleId="TOC6">
    <w:name w:val="toc 6"/>
    <w:basedOn w:val="Normal"/>
    <w:next w:val="Normal"/>
    <w:autoRedefine/>
    <w:uiPriority w:val="39"/>
    <w:unhideWhenUsed/>
    <w:rsid w:val="00B70099"/>
    <w:pPr>
      <w:spacing w:after="0" w:line="240" w:lineRule="auto"/>
      <w:ind w:left="880"/>
    </w:pPr>
    <w:rPr>
      <w:rFonts w:asciiTheme="minorHAnsi" w:hAnsiTheme="minorHAnsi"/>
      <w:sz w:val="20"/>
      <w:szCs w:val="20"/>
    </w:rPr>
  </w:style>
  <w:style w:type="paragraph" w:styleId="TOC7">
    <w:name w:val="toc 7"/>
    <w:basedOn w:val="Normal"/>
    <w:next w:val="Normal"/>
    <w:autoRedefine/>
    <w:uiPriority w:val="39"/>
    <w:unhideWhenUsed/>
    <w:rsid w:val="00B70099"/>
    <w:pPr>
      <w:spacing w:after="0" w:line="240" w:lineRule="auto"/>
      <w:ind w:left="1100"/>
    </w:pPr>
    <w:rPr>
      <w:rFonts w:asciiTheme="minorHAnsi" w:hAnsiTheme="minorHAnsi"/>
      <w:sz w:val="20"/>
      <w:szCs w:val="20"/>
    </w:rPr>
  </w:style>
  <w:style w:type="paragraph" w:styleId="TOC8">
    <w:name w:val="toc 8"/>
    <w:basedOn w:val="Normal"/>
    <w:next w:val="Normal"/>
    <w:autoRedefine/>
    <w:uiPriority w:val="39"/>
    <w:unhideWhenUsed/>
    <w:rsid w:val="00B70099"/>
    <w:pPr>
      <w:spacing w:after="0" w:line="240" w:lineRule="auto"/>
      <w:ind w:left="1320"/>
    </w:pPr>
    <w:rPr>
      <w:rFonts w:asciiTheme="minorHAnsi" w:hAnsiTheme="minorHAnsi"/>
      <w:sz w:val="20"/>
      <w:szCs w:val="20"/>
    </w:rPr>
  </w:style>
  <w:style w:type="paragraph" w:styleId="TOC9">
    <w:name w:val="toc 9"/>
    <w:basedOn w:val="Normal"/>
    <w:next w:val="Normal"/>
    <w:autoRedefine/>
    <w:uiPriority w:val="39"/>
    <w:unhideWhenUsed/>
    <w:rsid w:val="00B70099"/>
    <w:pPr>
      <w:spacing w:after="0" w:line="240" w:lineRule="auto"/>
      <w:ind w:left="1540"/>
    </w:pPr>
    <w:rPr>
      <w:rFonts w:asciiTheme="minorHAnsi" w:hAnsiTheme="minorHAnsi"/>
      <w:sz w:val="20"/>
      <w:szCs w:val="20"/>
    </w:rPr>
  </w:style>
  <w:style w:type="paragraph" w:styleId="Revision">
    <w:name w:val="Revision"/>
    <w:hidden/>
    <w:uiPriority w:val="99"/>
    <w:semiHidden/>
    <w:rsid w:val="00B70099"/>
    <w:pPr>
      <w:spacing w:after="0" w:line="240" w:lineRule="auto"/>
    </w:pPr>
    <w:rPr>
      <w:szCs w:val="24"/>
    </w:rPr>
  </w:style>
  <w:style w:type="paragraph" w:customStyle="1" w:styleId="m7679177646322962650msolistparagraph">
    <w:name w:val="m_7679177646322962650msolistparagraph"/>
    <w:basedOn w:val="Normal"/>
    <w:rsid w:val="00B70099"/>
    <w:pPr>
      <w:spacing w:before="100" w:beforeAutospacing="1" w:after="100" w:afterAutospacing="1" w:line="240" w:lineRule="auto"/>
    </w:pPr>
    <w:rPr>
      <w:rFonts w:eastAsia="Times New Roman" w:cs="Times New Roman"/>
      <w:sz w:val="24"/>
      <w:szCs w:val="24"/>
    </w:rPr>
  </w:style>
  <w:style w:type="character" w:customStyle="1" w:styleId="highlight">
    <w:name w:val="highlight"/>
    <w:basedOn w:val="DefaultParagraphFont"/>
    <w:rsid w:val="00B70099"/>
  </w:style>
  <w:style w:type="character" w:styleId="Strong">
    <w:name w:val="Strong"/>
    <w:basedOn w:val="DefaultParagraphFont"/>
    <w:uiPriority w:val="22"/>
    <w:qFormat/>
    <w:rsid w:val="00B70099"/>
    <w:rPr>
      <w:b/>
      <w:bCs/>
    </w:rPr>
  </w:style>
  <w:style w:type="character" w:customStyle="1" w:styleId="st">
    <w:name w:val="st"/>
    <w:basedOn w:val="DefaultParagraphFont"/>
    <w:rsid w:val="00B70099"/>
  </w:style>
  <w:style w:type="character" w:styleId="Emphasis">
    <w:name w:val="Emphasis"/>
    <w:basedOn w:val="DefaultParagraphFont"/>
    <w:uiPriority w:val="20"/>
    <w:qFormat/>
    <w:rsid w:val="00B70099"/>
    <w:rPr>
      <w:i/>
      <w:iCs/>
    </w:rPr>
  </w:style>
  <w:style w:type="character" w:customStyle="1" w:styleId="docheader">
    <w:name w:val="doc_header"/>
    <w:basedOn w:val="DefaultParagraphFont"/>
    <w:rsid w:val="00B70099"/>
  </w:style>
  <w:style w:type="table" w:customStyle="1" w:styleId="-551">
    <w:name w:val="Таблица-сетка 5 темная — акцент 51"/>
    <w:basedOn w:val="TableNormal"/>
    <w:uiPriority w:val="50"/>
    <w:rsid w:val="00B7009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1">
    <w:name w:val="Таблица простая 41"/>
    <w:basedOn w:val="TableNormal"/>
    <w:uiPriority w:val="44"/>
    <w:rsid w:val="00B70099"/>
    <w:pPr>
      <w:spacing w:after="0" w:line="240" w:lineRule="auto"/>
    </w:pPr>
    <w:rPr>
      <w:lang w:val="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TableNormal"/>
    <w:uiPriority w:val="42"/>
    <w:rsid w:val="00B700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70099"/>
  </w:style>
  <w:style w:type="numbering" w:styleId="111111">
    <w:name w:val="Outline List 2"/>
    <w:basedOn w:val="NoList"/>
    <w:uiPriority w:val="99"/>
    <w:semiHidden/>
    <w:unhideWhenUsed/>
    <w:rsid w:val="00B70099"/>
    <w:pPr>
      <w:numPr>
        <w:numId w:val="4"/>
      </w:numPr>
    </w:pPr>
  </w:style>
  <w:style w:type="character" w:styleId="FollowedHyperlink">
    <w:name w:val="FollowedHyperlink"/>
    <w:basedOn w:val="DefaultParagraphFont"/>
    <w:uiPriority w:val="99"/>
    <w:semiHidden/>
    <w:unhideWhenUsed/>
    <w:rsid w:val="00B70099"/>
    <w:rPr>
      <w:color w:val="800080"/>
      <w:u w:val="single"/>
    </w:rPr>
  </w:style>
  <w:style w:type="paragraph" w:customStyle="1" w:styleId="msonormal0">
    <w:name w:val="msonormal"/>
    <w:basedOn w:val="Normal"/>
    <w:rsid w:val="00B70099"/>
    <w:pPr>
      <w:spacing w:before="100" w:beforeAutospacing="1" w:after="100" w:afterAutospacing="1" w:line="240" w:lineRule="auto"/>
    </w:pPr>
    <w:rPr>
      <w:rFonts w:eastAsia="Times New Roman" w:cs="Times New Roman"/>
      <w:sz w:val="24"/>
      <w:szCs w:val="24"/>
    </w:rPr>
  </w:style>
  <w:style w:type="paragraph" w:customStyle="1" w:styleId="xl65">
    <w:name w:val="xl65"/>
    <w:basedOn w:val="Normal"/>
    <w:rsid w:val="00B70099"/>
    <w:pPr>
      <w:spacing w:before="100" w:beforeAutospacing="1" w:after="100" w:afterAutospacing="1" w:line="240" w:lineRule="auto"/>
    </w:pPr>
    <w:rPr>
      <w:rFonts w:eastAsia="Times New Roman" w:cs="Times New Roman"/>
      <w:sz w:val="20"/>
      <w:szCs w:val="20"/>
    </w:rPr>
  </w:style>
  <w:style w:type="paragraph" w:customStyle="1" w:styleId="xl66">
    <w:name w:val="xl66"/>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67">
    <w:name w:val="xl67"/>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68">
    <w:name w:val="xl68"/>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69">
    <w:name w:val="xl69"/>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70">
    <w:name w:val="xl70"/>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71">
    <w:name w:val="xl71"/>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72">
    <w:name w:val="xl72"/>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rPr>
  </w:style>
  <w:style w:type="paragraph" w:customStyle="1" w:styleId="xl73">
    <w:name w:val="xl73"/>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74">
    <w:name w:val="xl74"/>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75">
    <w:name w:val="xl75"/>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76">
    <w:name w:val="xl76"/>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customStyle="1" w:styleId="xl77">
    <w:name w:val="xl77"/>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customStyle="1" w:styleId="xl78">
    <w:name w:val="xl78"/>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customStyle="1" w:styleId="xl79">
    <w:name w:val="xl79"/>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rPr>
  </w:style>
  <w:style w:type="paragraph" w:customStyle="1" w:styleId="xl80">
    <w:name w:val="xl80"/>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0"/>
      <w:szCs w:val="20"/>
    </w:rPr>
  </w:style>
  <w:style w:type="paragraph" w:customStyle="1" w:styleId="xl81">
    <w:name w:val="xl81"/>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0"/>
      <w:szCs w:val="20"/>
    </w:rPr>
  </w:style>
  <w:style w:type="paragraph" w:customStyle="1" w:styleId="xl82">
    <w:name w:val="xl82"/>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 w:val="20"/>
      <w:szCs w:val="20"/>
    </w:rPr>
  </w:style>
  <w:style w:type="paragraph" w:customStyle="1" w:styleId="xl83">
    <w:name w:val="xl83"/>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84">
    <w:name w:val="xl84"/>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85">
    <w:name w:val="xl85"/>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0"/>
      <w:szCs w:val="20"/>
    </w:rPr>
  </w:style>
  <w:style w:type="paragraph" w:customStyle="1" w:styleId="xl86">
    <w:name w:val="xl86"/>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87">
    <w:name w:val="xl87"/>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88">
    <w:name w:val="xl88"/>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rPr>
  </w:style>
  <w:style w:type="paragraph" w:customStyle="1" w:styleId="xl89">
    <w:name w:val="xl89"/>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rPr>
  </w:style>
  <w:style w:type="paragraph" w:customStyle="1" w:styleId="xl90">
    <w:name w:val="xl90"/>
    <w:basedOn w:val="Normal"/>
    <w:rsid w:val="00B70099"/>
    <w:pPr>
      <w:spacing w:before="100" w:beforeAutospacing="1" w:after="100" w:afterAutospacing="1" w:line="240" w:lineRule="auto"/>
    </w:pPr>
    <w:rPr>
      <w:rFonts w:eastAsia="Times New Roman" w:cs="Times New Roman"/>
      <w:sz w:val="20"/>
      <w:szCs w:val="20"/>
    </w:rPr>
  </w:style>
  <w:style w:type="paragraph" w:customStyle="1" w:styleId="xl91">
    <w:name w:val="xl91"/>
    <w:basedOn w:val="Normal"/>
    <w:rsid w:val="00B70099"/>
    <w:pPr>
      <w:spacing w:before="100" w:beforeAutospacing="1" w:after="100" w:afterAutospacing="1" w:line="240" w:lineRule="auto"/>
    </w:pPr>
    <w:rPr>
      <w:rFonts w:eastAsia="Times New Roman" w:cs="Times New Roman"/>
      <w:sz w:val="20"/>
      <w:szCs w:val="20"/>
    </w:rPr>
  </w:style>
  <w:style w:type="paragraph" w:customStyle="1" w:styleId="xl92">
    <w:name w:val="xl92"/>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0"/>
      <w:szCs w:val="20"/>
    </w:rPr>
  </w:style>
  <w:style w:type="paragraph" w:customStyle="1" w:styleId="xl93">
    <w:name w:val="xl93"/>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94">
    <w:name w:val="xl94"/>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5">
    <w:name w:val="xl95"/>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6">
    <w:name w:val="xl96"/>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97">
    <w:name w:val="xl97"/>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98">
    <w:name w:val="xl98"/>
    <w:basedOn w:val="Normal"/>
    <w:rsid w:val="00B700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9">
    <w:name w:val="xl99"/>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100">
    <w:name w:val="xl100"/>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1">
    <w:name w:val="xl101"/>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0"/>
      <w:szCs w:val="20"/>
    </w:rPr>
  </w:style>
  <w:style w:type="paragraph" w:customStyle="1" w:styleId="xl102">
    <w:name w:val="xl102"/>
    <w:basedOn w:val="Normal"/>
    <w:rsid w:val="00B700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103">
    <w:name w:val="xl103"/>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0"/>
      <w:szCs w:val="20"/>
    </w:rPr>
  </w:style>
  <w:style w:type="paragraph" w:customStyle="1" w:styleId="xl104">
    <w:name w:val="xl104"/>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sz w:val="20"/>
      <w:szCs w:val="20"/>
    </w:rPr>
  </w:style>
  <w:style w:type="paragraph" w:customStyle="1" w:styleId="xl105">
    <w:name w:val="xl105"/>
    <w:basedOn w:val="Normal"/>
    <w:rsid w:val="00B70099"/>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106">
    <w:name w:val="xl106"/>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0"/>
      <w:szCs w:val="20"/>
    </w:rPr>
  </w:style>
  <w:style w:type="paragraph" w:customStyle="1" w:styleId="xl107">
    <w:name w:val="xl107"/>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108">
    <w:name w:val="xl108"/>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109">
    <w:name w:val="xl109"/>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s="Times New Roman"/>
      <w:b/>
      <w:bCs/>
      <w:sz w:val="20"/>
      <w:szCs w:val="20"/>
    </w:rPr>
  </w:style>
  <w:style w:type="paragraph" w:customStyle="1" w:styleId="xl110">
    <w:name w:val="xl110"/>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0"/>
      <w:szCs w:val="20"/>
    </w:rPr>
  </w:style>
  <w:style w:type="paragraph" w:customStyle="1" w:styleId="xl111">
    <w:name w:val="xl111"/>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rPr>
  </w:style>
  <w:style w:type="paragraph" w:customStyle="1" w:styleId="xl112">
    <w:name w:val="xl112"/>
    <w:basedOn w:val="Normal"/>
    <w:rsid w:val="00B70099"/>
    <w:pPr>
      <w:shd w:val="clear" w:color="000000" w:fill="FFFFFF"/>
      <w:spacing w:before="100" w:beforeAutospacing="1" w:after="100" w:afterAutospacing="1" w:line="240" w:lineRule="auto"/>
    </w:pPr>
    <w:rPr>
      <w:rFonts w:eastAsia="Times New Roman" w:cs="Times New Roman"/>
      <w:sz w:val="20"/>
      <w:szCs w:val="20"/>
    </w:rPr>
  </w:style>
  <w:style w:type="paragraph" w:customStyle="1" w:styleId="xl113">
    <w:name w:val="xl113"/>
    <w:basedOn w:val="Normal"/>
    <w:rsid w:val="00B70099"/>
    <w:pPr>
      <w:shd w:val="clear" w:color="000000" w:fill="D9D9D9"/>
      <w:spacing w:before="100" w:beforeAutospacing="1" w:after="100" w:afterAutospacing="1" w:line="240" w:lineRule="auto"/>
      <w:jc w:val="center"/>
    </w:pPr>
    <w:rPr>
      <w:rFonts w:eastAsia="Times New Roman" w:cs="Times New Roman"/>
      <w:szCs w:val="28"/>
    </w:rPr>
  </w:style>
  <w:style w:type="paragraph" w:customStyle="1" w:styleId="xl114">
    <w:name w:val="xl114"/>
    <w:basedOn w:val="Normal"/>
    <w:rsid w:val="00B700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s="Times New Roman"/>
      <w:szCs w:val="28"/>
    </w:rPr>
  </w:style>
  <w:style w:type="paragraph" w:customStyle="1" w:styleId="xl115">
    <w:name w:val="xl115"/>
    <w:basedOn w:val="Normal"/>
    <w:rsid w:val="00B7009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right"/>
    </w:pPr>
    <w:rPr>
      <w:rFonts w:eastAsia="Times New Roman" w:cs="Times New Roman"/>
      <w:sz w:val="20"/>
      <w:szCs w:val="20"/>
    </w:rPr>
  </w:style>
  <w:style w:type="paragraph" w:customStyle="1" w:styleId="xl116">
    <w:name w:val="xl116"/>
    <w:basedOn w:val="Normal"/>
    <w:rsid w:val="00B7009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right"/>
    </w:pPr>
    <w:rPr>
      <w:rFonts w:eastAsia="Times New Roman" w:cs="Times New Roman"/>
      <w:sz w:val="20"/>
      <w:szCs w:val="20"/>
    </w:rPr>
  </w:style>
  <w:style w:type="paragraph" w:customStyle="1" w:styleId="xl117">
    <w:name w:val="xl117"/>
    <w:basedOn w:val="Normal"/>
    <w:rsid w:val="00B700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pPr>
    <w:rPr>
      <w:rFonts w:eastAsia="Times New Roman" w:cs="Times New Roman"/>
      <w:sz w:val="20"/>
      <w:szCs w:val="20"/>
    </w:rPr>
  </w:style>
  <w:style w:type="paragraph" w:customStyle="1" w:styleId="xl118">
    <w:name w:val="xl118"/>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9">
    <w:name w:val="xl119"/>
    <w:basedOn w:val="Normal"/>
    <w:rsid w:val="00B700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styleId="BodyText">
    <w:name w:val="Body Text"/>
    <w:basedOn w:val="Normal"/>
    <w:link w:val="BodyTextChar"/>
    <w:uiPriority w:val="99"/>
    <w:semiHidden/>
    <w:unhideWhenUsed/>
    <w:rsid w:val="00016D1D"/>
    <w:pPr>
      <w:spacing w:after="120"/>
    </w:pPr>
  </w:style>
  <w:style w:type="character" w:customStyle="1" w:styleId="BodyTextChar">
    <w:name w:val="Body Text Char"/>
    <w:basedOn w:val="DefaultParagraphFont"/>
    <w:link w:val="BodyText"/>
    <w:uiPriority w:val="99"/>
    <w:semiHidden/>
    <w:rsid w:val="00016D1D"/>
    <w:rPr>
      <w:rFonts w:ascii="Times New Roman" w:hAnsi="Times New Roman"/>
      <w:sz w:val="28"/>
    </w:rPr>
  </w:style>
  <w:style w:type="character" w:customStyle="1" w:styleId="a">
    <w:name w:val="Абзац списка Знак"/>
    <w:aliases w:val="Scriptoria bullet points Знак,List Paragraph 1 Знак,Абзац списка1 Знак,strikethrough Знак,standaard met opsomming Знак,Bullets Знак,References Знак,Liste 1 Знак,List Paragraph nowy Знак,Numbered List Paragraph Знак"/>
    <w:basedOn w:val="DefaultParagraphFont"/>
    <w:uiPriority w:val="34"/>
    <w:locked/>
    <w:rsid w:val="00803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9980">
      <w:bodyDiv w:val="1"/>
      <w:marLeft w:val="0"/>
      <w:marRight w:val="0"/>
      <w:marTop w:val="0"/>
      <w:marBottom w:val="0"/>
      <w:divBdr>
        <w:top w:val="none" w:sz="0" w:space="0" w:color="auto"/>
        <w:left w:val="none" w:sz="0" w:space="0" w:color="auto"/>
        <w:bottom w:val="none" w:sz="0" w:space="0" w:color="auto"/>
        <w:right w:val="none" w:sz="0" w:space="0" w:color="auto"/>
      </w:divBdr>
    </w:div>
    <w:div w:id="85925561">
      <w:bodyDiv w:val="1"/>
      <w:marLeft w:val="0"/>
      <w:marRight w:val="0"/>
      <w:marTop w:val="0"/>
      <w:marBottom w:val="0"/>
      <w:divBdr>
        <w:top w:val="none" w:sz="0" w:space="0" w:color="auto"/>
        <w:left w:val="none" w:sz="0" w:space="0" w:color="auto"/>
        <w:bottom w:val="none" w:sz="0" w:space="0" w:color="auto"/>
        <w:right w:val="none" w:sz="0" w:space="0" w:color="auto"/>
      </w:divBdr>
    </w:div>
    <w:div w:id="173885245">
      <w:bodyDiv w:val="1"/>
      <w:marLeft w:val="0"/>
      <w:marRight w:val="0"/>
      <w:marTop w:val="0"/>
      <w:marBottom w:val="0"/>
      <w:divBdr>
        <w:top w:val="none" w:sz="0" w:space="0" w:color="auto"/>
        <w:left w:val="none" w:sz="0" w:space="0" w:color="auto"/>
        <w:bottom w:val="none" w:sz="0" w:space="0" w:color="auto"/>
        <w:right w:val="none" w:sz="0" w:space="0" w:color="auto"/>
      </w:divBdr>
    </w:div>
    <w:div w:id="258176019">
      <w:bodyDiv w:val="1"/>
      <w:marLeft w:val="0"/>
      <w:marRight w:val="0"/>
      <w:marTop w:val="0"/>
      <w:marBottom w:val="0"/>
      <w:divBdr>
        <w:top w:val="none" w:sz="0" w:space="0" w:color="auto"/>
        <w:left w:val="none" w:sz="0" w:space="0" w:color="auto"/>
        <w:bottom w:val="none" w:sz="0" w:space="0" w:color="auto"/>
        <w:right w:val="none" w:sz="0" w:space="0" w:color="auto"/>
      </w:divBdr>
    </w:div>
    <w:div w:id="274337508">
      <w:bodyDiv w:val="1"/>
      <w:marLeft w:val="0"/>
      <w:marRight w:val="0"/>
      <w:marTop w:val="0"/>
      <w:marBottom w:val="0"/>
      <w:divBdr>
        <w:top w:val="none" w:sz="0" w:space="0" w:color="auto"/>
        <w:left w:val="none" w:sz="0" w:space="0" w:color="auto"/>
        <w:bottom w:val="none" w:sz="0" w:space="0" w:color="auto"/>
        <w:right w:val="none" w:sz="0" w:space="0" w:color="auto"/>
      </w:divBdr>
    </w:div>
    <w:div w:id="317421555">
      <w:bodyDiv w:val="1"/>
      <w:marLeft w:val="0"/>
      <w:marRight w:val="0"/>
      <w:marTop w:val="0"/>
      <w:marBottom w:val="0"/>
      <w:divBdr>
        <w:top w:val="none" w:sz="0" w:space="0" w:color="auto"/>
        <w:left w:val="none" w:sz="0" w:space="0" w:color="auto"/>
        <w:bottom w:val="none" w:sz="0" w:space="0" w:color="auto"/>
        <w:right w:val="none" w:sz="0" w:space="0" w:color="auto"/>
      </w:divBdr>
    </w:div>
    <w:div w:id="382487974">
      <w:bodyDiv w:val="1"/>
      <w:marLeft w:val="0"/>
      <w:marRight w:val="0"/>
      <w:marTop w:val="0"/>
      <w:marBottom w:val="0"/>
      <w:divBdr>
        <w:top w:val="none" w:sz="0" w:space="0" w:color="auto"/>
        <w:left w:val="none" w:sz="0" w:space="0" w:color="auto"/>
        <w:bottom w:val="none" w:sz="0" w:space="0" w:color="auto"/>
        <w:right w:val="none" w:sz="0" w:space="0" w:color="auto"/>
      </w:divBdr>
    </w:div>
    <w:div w:id="392772851">
      <w:bodyDiv w:val="1"/>
      <w:marLeft w:val="0"/>
      <w:marRight w:val="0"/>
      <w:marTop w:val="0"/>
      <w:marBottom w:val="0"/>
      <w:divBdr>
        <w:top w:val="none" w:sz="0" w:space="0" w:color="auto"/>
        <w:left w:val="none" w:sz="0" w:space="0" w:color="auto"/>
        <w:bottom w:val="none" w:sz="0" w:space="0" w:color="auto"/>
        <w:right w:val="none" w:sz="0" w:space="0" w:color="auto"/>
      </w:divBdr>
    </w:div>
    <w:div w:id="410926842">
      <w:bodyDiv w:val="1"/>
      <w:marLeft w:val="0"/>
      <w:marRight w:val="0"/>
      <w:marTop w:val="0"/>
      <w:marBottom w:val="0"/>
      <w:divBdr>
        <w:top w:val="none" w:sz="0" w:space="0" w:color="auto"/>
        <w:left w:val="none" w:sz="0" w:space="0" w:color="auto"/>
        <w:bottom w:val="none" w:sz="0" w:space="0" w:color="auto"/>
        <w:right w:val="none" w:sz="0" w:space="0" w:color="auto"/>
      </w:divBdr>
    </w:div>
    <w:div w:id="444273926">
      <w:bodyDiv w:val="1"/>
      <w:marLeft w:val="0"/>
      <w:marRight w:val="0"/>
      <w:marTop w:val="0"/>
      <w:marBottom w:val="0"/>
      <w:divBdr>
        <w:top w:val="none" w:sz="0" w:space="0" w:color="auto"/>
        <w:left w:val="none" w:sz="0" w:space="0" w:color="auto"/>
        <w:bottom w:val="none" w:sz="0" w:space="0" w:color="auto"/>
        <w:right w:val="none" w:sz="0" w:space="0" w:color="auto"/>
      </w:divBdr>
    </w:div>
    <w:div w:id="505708182">
      <w:bodyDiv w:val="1"/>
      <w:marLeft w:val="0"/>
      <w:marRight w:val="0"/>
      <w:marTop w:val="0"/>
      <w:marBottom w:val="0"/>
      <w:divBdr>
        <w:top w:val="none" w:sz="0" w:space="0" w:color="auto"/>
        <w:left w:val="none" w:sz="0" w:space="0" w:color="auto"/>
        <w:bottom w:val="none" w:sz="0" w:space="0" w:color="auto"/>
        <w:right w:val="none" w:sz="0" w:space="0" w:color="auto"/>
      </w:divBdr>
    </w:div>
    <w:div w:id="711613866">
      <w:bodyDiv w:val="1"/>
      <w:marLeft w:val="0"/>
      <w:marRight w:val="0"/>
      <w:marTop w:val="0"/>
      <w:marBottom w:val="0"/>
      <w:divBdr>
        <w:top w:val="none" w:sz="0" w:space="0" w:color="auto"/>
        <w:left w:val="none" w:sz="0" w:space="0" w:color="auto"/>
        <w:bottom w:val="none" w:sz="0" w:space="0" w:color="auto"/>
        <w:right w:val="none" w:sz="0" w:space="0" w:color="auto"/>
      </w:divBdr>
    </w:div>
    <w:div w:id="853688456">
      <w:bodyDiv w:val="1"/>
      <w:marLeft w:val="0"/>
      <w:marRight w:val="0"/>
      <w:marTop w:val="0"/>
      <w:marBottom w:val="0"/>
      <w:divBdr>
        <w:top w:val="none" w:sz="0" w:space="0" w:color="auto"/>
        <w:left w:val="none" w:sz="0" w:space="0" w:color="auto"/>
        <w:bottom w:val="none" w:sz="0" w:space="0" w:color="auto"/>
        <w:right w:val="none" w:sz="0" w:space="0" w:color="auto"/>
      </w:divBdr>
    </w:div>
    <w:div w:id="914557630">
      <w:bodyDiv w:val="1"/>
      <w:marLeft w:val="0"/>
      <w:marRight w:val="0"/>
      <w:marTop w:val="0"/>
      <w:marBottom w:val="0"/>
      <w:divBdr>
        <w:top w:val="none" w:sz="0" w:space="0" w:color="auto"/>
        <w:left w:val="none" w:sz="0" w:space="0" w:color="auto"/>
        <w:bottom w:val="none" w:sz="0" w:space="0" w:color="auto"/>
        <w:right w:val="none" w:sz="0" w:space="0" w:color="auto"/>
      </w:divBdr>
    </w:div>
    <w:div w:id="957419512">
      <w:bodyDiv w:val="1"/>
      <w:marLeft w:val="0"/>
      <w:marRight w:val="0"/>
      <w:marTop w:val="0"/>
      <w:marBottom w:val="0"/>
      <w:divBdr>
        <w:top w:val="none" w:sz="0" w:space="0" w:color="auto"/>
        <w:left w:val="none" w:sz="0" w:space="0" w:color="auto"/>
        <w:bottom w:val="none" w:sz="0" w:space="0" w:color="auto"/>
        <w:right w:val="none" w:sz="0" w:space="0" w:color="auto"/>
      </w:divBdr>
    </w:div>
    <w:div w:id="1306933936">
      <w:bodyDiv w:val="1"/>
      <w:marLeft w:val="0"/>
      <w:marRight w:val="0"/>
      <w:marTop w:val="0"/>
      <w:marBottom w:val="0"/>
      <w:divBdr>
        <w:top w:val="none" w:sz="0" w:space="0" w:color="auto"/>
        <w:left w:val="none" w:sz="0" w:space="0" w:color="auto"/>
        <w:bottom w:val="none" w:sz="0" w:space="0" w:color="auto"/>
        <w:right w:val="none" w:sz="0" w:space="0" w:color="auto"/>
      </w:divBdr>
    </w:div>
    <w:div w:id="1431002076">
      <w:bodyDiv w:val="1"/>
      <w:marLeft w:val="0"/>
      <w:marRight w:val="0"/>
      <w:marTop w:val="0"/>
      <w:marBottom w:val="0"/>
      <w:divBdr>
        <w:top w:val="none" w:sz="0" w:space="0" w:color="auto"/>
        <w:left w:val="none" w:sz="0" w:space="0" w:color="auto"/>
        <w:bottom w:val="none" w:sz="0" w:space="0" w:color="auto"/>
        <w:right w:val="none" w:sz="0" w:space="0" w:color="auto"/>
      </w:divBdr>
    </w:div>
    <w:div w:id="1499728730">
      <w:bodyDiv w:val="1"/>
      <w:marLeft w:val="0"/>
      <w:marRight w:val="0"/>
      <w:marTop w:val="0"/>
      <w:marBottom w:val="0"/>
      <w:divBdr>
        <w:top w:val="none" w:sz="0" w:space="0" w:color="auto"/>
        <w:left w:val="none" w:sz="0" w:space="0" w:color="auto"/>
        <w:bottom w:val="none" w:sz="0" w:space="0" w:color="auto"/>
        <w:right w:val="none" w:sz="0" w:space="0" w:color="auto"/>
      </w:divBdr>
    </w:div>
    <w:div w:id="1505046049">
      <w:bodyDiv w:val="1"/>
      <w:marLeft w:val="0"/>
      <w:marRight w:val="0"/>
      <w:marTop w:val="0"/>
      <w:marBottom w:val="0"/>
      <w:divBdr>
        <w:top w:val="none" w:sz="0" w:space="0" w:color="auto"/>
        <w:left w:val="none" w:sz="0" w:space="0" w:color="auto"/>
        <w:bottom w:val="none" w:sz="0" w:space="0" w:color="auto"/>
        <w:right w:val="none" w:sz="0" w:space="0" w:color="auto"/>
      </w:divBdr>
    </w:div>
    <w:div w:id="1550411624">
      <w:bodyDiv w:val="1"/>
      <w:marLeft w:val="0"/>
      <w:marRight w:val="0"/>
      <w:marTop w:val="0"/>
      <w:marBottom w:val="0"/>
      <w:divBdr>
        <w:top w:val="none" w:sz="0" w:space="0" w:color="auto"/>
        <w:left w:val="none" w:sz="0" w:space="0" w:color="auto"/>
        <w:bottom w:val="none" w:sz="0" w:space="0" w:color="auto"/>
        <w:right w:val="none" w:sz="0" w:space="0" w:color="auto"/>
      </w:divBdr>
    </w:div>
    <w:div w:id="1575168328">
      <w:bodyDiv w:val="1"/>
      <w:marLeft w:val="0"/>
      <w:marRight w:val="0"/>
      <w:marTop w:val="0"/>
      <w:marBottom w:val="0"/>
      <w:divBdr>
        <w:top w:val="none" w:sz="0" w:space="0" w:color="auto"/>
        <w:left w:val="none" w:sz="0" w:space="0" w:color="auto"/>
        <w:bottom w:val="none" w:sz="0" w:space="0" w:color="auto"/>
        <w:right w:val="none" w:sz="0" w:space="0" w:color="auto"/>
      </w:divBdr>
    </w:div>
    <w:div w:id="1586256855">
      <w:bodyDiv w:val="1"/>
      <w:marLeft w:val="0"/>
      <w:marRight w:val="0"/>
      <w:marTop w:val="0"/>
      <w:marBottom w:val="0"/>
      <w:divBdr>
        <w:top w:val="none" w:sz="0" w:space="0" w:color="auto"/>
        <w:left w:val="none" w:sz="0" w:space="0" w:color="auto"/>
        <w:bottom w:val="none" w:sz="0" w:space="0" w:color="auto"/>
        <w:right w:val="none" w:sz="0" w:space="0" w:color="auto"/>
      </w:divBdr>
    </w:div>
    <w:div w:id="1959097781">
      <w:bodyDiv w:val="1"/>
      <w:marLeft w:val="0"/>
      <w:marRight w:val="0"/>
      <w:marTop w:val="0"/>
      <w:marBottom w:val="0"/>
      <w:divBdr>
        <w:top w:val="none" w:sz="0" w:space="0" w:color="auto"/>
        <w:left w:val="none" w:sz="0" w:space="0" w:color="auto"/>
        <w:bottom w:val="none" w:sz="0" w:space="0" w:color="auto"/>
        <w:right w:val="none" w:sz="0" w:space="0" w:color="auto"/>
      </w:divBdr>
    </w:div>
    <w:div w:id="2067488521">
      <w:bodyDiv w:val="1"/>
      <w:marLeft w:val="0"/>
      <w:marRight w:val="0"/>
      <w:marTop w:val="0"/>
      <w:marBottom w:val="0"/>
      <w:divBdr>
        <w:top w:val="none" w:sz="0" w:space="0" w:color="auto"/>
        <w:left w:val="none" w:sz="0" w:space="0" w:color="auto"/>
        <w:bottom w:val="none" w:sz="0" w:space="0" w:color="auto"/>
        <w:right w:val="none" w:sz="0" w:space="0" w:color="auto"/>
      </w:divBdr>
    </w:div>
    <w:div w:id="2089691356">
      <w:bodyDiv w:val="1"/>
      <w:marLeft w:val="0"/>
      <w:marRight w:val="0"/>
      <w:marTop w:val="0"/>
      <w:marBottom w:val="0"/>
      <w:divBdr>
        <w:top w:val="none" w:sz="0" w:space="0" w:color="auto"/>
        <w:left w:val="none" w:sz="0" w:space="0" w:color="auto"/>
        <w:bottom w:val="none" w:sz="0" w:space="0" w:color="auto"/>
        <w:right w:val="none" w:sz="0" w:space="0" w:color="auto"/>
      </w:divBdr>
    </w:div>
    <w:div w:id="210791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rm@ccrm.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crm.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Priority xmlns="http://schemas.microsoft.com/sharepoint/v3">1</Routing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BB218529B044391A435B698344688" ma:contentTypeVersion="" ma:contentTypeDescription="Create a new document." ma:contentTypeScope="" ma:versionID="c471add7f15e899e9e8306be7553eedc">
  <xsd:schema xmlns:xsd="http://www.w3.org/2001/XMLSchema" xmlns:xs="http://www.w3.org/2001/XMLSchema" xmlns:p="http://schemas.microsoft.com/office/2006/metadata/properties" xmlns:ns1="http://schemas.microsoft.com/sharepoint/v3" targetNamespace="http://schemas.microsoft.com/office/2006/metadata/properties" ma:root="true" ma:fieldsID="3c9c78f3932963f605fda8c813b5d038" ns1:_="">
    <xsd:import namespace="http://schemas.microsoft.com/sharepoint/v3"/>
    <xsd:element name="properties">
      <xsd:complexType>
        <xsd:sequence>
          <xsd:element name="documentManagement">
            <xsd:complexType>
              <xsd:all>
                <xsd:element ref="ns1:RoutingPrior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Priority" ma:index="8" ma:displayName="Priority" ma:description="" ma:internalName="RoutingPrior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D4F7E-FA73-4262-B71F-A81B0E7CFA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85D146C-44DA-4D68-B01B-F2EEC10DFC46}">
  <ds:schemaRefs>
    <ds:schemaRef ds:uri="http://schemas.microsoft.com/sharepoint/v3/contenttype/forms"/>
  </ds:schemaRefs>
</ds:datastoreItem>
</file>

<file path=customXml/itemProps3.xml><?xml version="1.0" encoding="utf-8"?>
<ds:datastoreItem xmlns:ds="http://schemas.openxmlformats.org/officeDocument/2006/customXml" ds:itemID="{82399149-C594-4161-83A3-AF9835802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08F40-E9BE-4E0E-85F8-EB4B4F4E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5828</Words>
  <Characters>33224</Characters>
  <Application>Microsoft Office Word</Application>
  <DocSecurity>0</DocSecurity>
  <Lines>276</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Ştirbu Sergiu</dc:creator>
  <cp:lastModifiedBy>Admin</cp:lastModifiedBy>
  <cp:revision>2</cp:revision>
  <cp:lastPrinted>2020-07-11T16:12:00Z</cp:lastPrinted>
  <dcterms:created xsi:type="dcterms:W3CDTF">2021-02-21T23:02:00Z</dcterms:created>
  <dcterms:modified xsi:type="dcterms:W3CDTF">2021-02-21T23:02:00Z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0x010100294BB218529B044391A435B698344688</vt:lpwstr>
  </property>
</Properties>
</file>